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4874">
      <w:pPr>
        <w:adjustRightInd w:val="0"/>
        <w:snapToGrid w:val="0"/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B4B3881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91F53A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中国石油大学（北京）202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年“诗教中国”讲解大赛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08C34616">
      <w:pPr>
        <w:pStyle w:val="4"/>
        <w:spacing w:before="0" w:beforeAutospacing="0" w:after="0" w:afterAutospacing="0" w:line="600" w:lineRule="exact"/>
        <w:ind w:firstLine="600" w:firstLineChars="200"/>
        <w:rPr>
          <w:rFonts w:hint="eastAsia" w:eastAsia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34D8E4C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为传承弘扬中华优秀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文化，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典耀中华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主题读书行动，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充分挖掘中华经典诗词中所蕴含的民族正气、爱国情怀、道德品质和艺术魅力，中国石油大学（北京）举办“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诗教中国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讲解大赛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，推荐优秀作品参加北京赛区选拔赛，方案如下。</w:t>
      </w:r>
    </w:p>
    <w:p w14:paraId="29C5D236">
      <w:pPr>
        <w:pStyle w:val="4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3DE77048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参赛对象为在校学生、在职教师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社会人员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sz w:val="32"/>
          <w:szCs w:val="32"/>
          <w:highlight w:val="none"/>
        </w:rPr>
        <w:t>设</w:t>
      </w:r>
      <w:r>
        <w:rPr>
          <w:rFonts w:hint="eastAsia" w:eastAsia="仿宋_GB2312"/>
          <w:b/>
          <w:bCs/>
          <w:sz w:val="32"/>
          <w:szCs w:val="32"/>
          <w:highlight w:val="none"/>
        </w:rPr>
        <w:t>讲解、演讲</w:t>
      </w:r>
      <w:r>
        <w:rPr>
          <w:rFonts w:hint="eastAsia" w:eastAsia="仿宋_GB2312"/>
          <w:sz w:val="32"/>
          <w:szCs w:val="32"/>
          <w:highlight w:val="none"/>
        </w:rPr>
        <w:t>两个类别。每类分为大学教师组（含在站博士后）、大学生组（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含</w:t>
      </w:r>
      <w:r>
        <w:rPr>
          <w:rFonts w:hint="eastAsia" w:eastAsia="仿宋_GB2312"/>
          <w:sz w:val="32"/>
          <w:szCs w:val="32"/>
          <w:highlight w:val="none"/>
        </w:rPr>
        <w:t>研究生）、留学生组（在华外国留学生）、社会人员组。</w:t>
      </w:r>
    </w:p>
    <w:p w14:paraId="5DCC5796">
      <w:pPr>
        <w:adjustRightInd w:val="0"/>
        <w:snapToGrid w:val="0"/>
        <w:spacing w:line="600" w:lineRule="exact"/>
        <w:ind w:firstLine="640" w:firstLineChars="200"/>
        <w:rPr>
          <w:rFonts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074747B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（一）内容要求</w:t>
      </w:r>
    </w:p>
    <w:p w14:paraId="78EECBDE"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rPr>
          <w:rFonts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1.讲解类。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讲解须使用国家通用语言文字，内容应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选自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（含中职）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统编语文教材、普通高等教育国家级规划教材</w:t>
      </w:r>
      <w:r>
        <w:rPr>
          <w:rFonts w:hint="eastAsia" w:eastAsia="仿宋_GB2312"/>
          <w:sz w:val="32"/>
          <w:szCs w:val="32"/>
          <w:highlight w:val="none"/>
        </w:rPr>
        <w:t>及高等职业教育国家规划教材大学语文教材中的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规范汉字、成语或</w:t>
      </w:r>
      <w:r>
        <w:rPr>
          <w:rFonts w:hint="eastAsia" w:eastAsia="仿宋_GB2312"/>
          <w:sz w:val="32"/>
          <w:szCs w:val="32"/>
          <w:highlight w:val="none"/>
        </w:rPr>
        <w:t>经典诗词作品</w:t>
      </w:r>
      <w:bookmarkStart w:id="0" w:name="OLE_LINK3"/>
      <w:r>
        <w:rPr>
          <w:rFonts w:hint="eastAsia" w:eastAsia="仿宋_GB2312"/>
          <w:sz w:val="32"/>
          <w:szCs w:val="32"/>
          <w:highlight w:val="none"/>
        </w:rPr>
        <w:t>。</w:t>
      </w:r>
      <w:bookmarkEnd w:id="0"/>
    </w:p>
    <w:p w14:paraId="6F69075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参赛</w:t>
      </w:r>
      <w:r>
        <w:rPr>
          <w:rFonts w:eastAsia="仿宋_GB2312"/>
          <w:sz w:val="32"/>
          <w:szCs w:val="32"/>
          <w:highlight w:val="none"/>
        </w:rPr>
        <w:t>教师</w:t>
      </w:r>
      <w:r>
        <w:rPr>
          <w:rFonts w:hint="eastAsia" w:eastAsia="仿宋_GB2312"/>
          <w:sz w:val="32"/>
          <w:szCs w:val="32"/>
          <w:highlight w:val="none"/>
        </w:rPr>
        <w:t>按照课堂教学相关要求，遵循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语言文化</w:t>
      </w:r>
      <w:r>
        <w:rPr>
          <w:rFonts w:hint="eastAsia" w:eastAsia="仿宋_GB2312"/>
          <w:sz w:val="32"/>
          <w:szCs w:val="32"/>
          <w:highlight w:val="none"/>
        </w:rPr>
        <w:t>教育基本规律和学术规范，录制以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汉字、成语、</w:t>
      </w:r>
      <w:r>
        <w:rPr>
          <w:rFonts w:hint="eastAsia" w:eastAsia="仿宋_GB2312"/>
          <w:sz w:val="32"/>
          <w:szCs w:val="32"/>
          <w:highlight w:val="none"/>
        </w:rPr>
        <w:t>诗词教学为主要内容的微课视频。</w:t>
      </w:r>
    </w:p>
    <w:p w14:paraId="5FFAB4A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</w:pPr>
      <w:r>
        <w:rPr>
          <w:rFonts w:hint="eastAsia" w:eastAsia="仿宋_GB2312"/>
          <w:sz w:val="32"/>
          <w:szCs w:val="32"/>
          <w:highlight w:val="none"/>
        </w:rPr>
        <w:t>参赛学生和社会人员应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以喜闻乐见的形式阐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作品的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意义与价值，鼓励结合地域文化、民族特色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各级非物质文化遗产代表性项目等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创新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讲解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内容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2AAC7FA3">
      <w:pPr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2.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演讲类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参赛者须围绕社会主义先进文化、革命文化和中华优秀传统文化中的经典篇章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以及各级非物质文化遗产代表性项目</w:t>
      </w:r>
      <w:r>
        <w:rPr>
          <w:rFonts w:hint="eastAsia" w:eastAsia="仿宋_GB2312"/>
          <w:sz w:val="32"/>
          <w:szCs w:val="32"/>
          <w:highlight w:val="none"/>
        </w:rPr>
        <w:t>展开演讲。参赛者可自行选题，也可选择以下主题展开演讲：</w:t>
      </w:r>
    </w:p>
    <w:p w14:paraId="0554269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（1）经典中的智慧与力量。可通过经典在新时代的创造性运用，阐释其中蕴含的时代启示。</w:t>
      </w:r>
    </w:p>
    <w:p w14:paraId="5A4C565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（2）经典中的成长与担当。可从经典文本出发，联系个人成长经历、学习生活、社会实践，讲述经典如何启迪思维、塑造品格、激励担当。</w:t>
      </w:r>
    </w:p>
    <w:p w14:paraId="665E9D7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（3）经典的学习与体会。可分享学习经典、运用经典的路径、方法与实践案例，阐发对经典的理解、传承与创新。</w:t>
      </w:r>
    </w:p>
    <w:p w14:paraId="4C8ADEE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（4）经典中的家国情怀。可挖掘经典中蕴含的家国情怀、道德修养、奋斗精神等，结合实际，展现经典“典”亮人生、“典”耀未来的生动故事。</w:t>
      </w:r>
    </w:p>
    <w:p w14:paraId="7543A748">
      <w:pPr>
        <w:widowControl/>
        <w:shd w:val="clear"/>
        <w:adjustRightInd w:val="0"/>
        <w:snapToGrid w:val="0"/>
        <w:spacing w:line="560" w:lineRule="exact"/>
        <w:ind w:firstLine="640" w:firstLineChars="200"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  <w:highlight w:val="none"/>
        </w:rPr>
        <w:t>演讲须</w:t>
      </w:r>
      <w:r>
        <w:rPr>
          <w:rFonts w:eastAsia="仿宋_GB2312"/>
          <w:sz w:val="32"/>
          <w:szCs w:val="32"/>
          <w:highlight w:val="none"/>
        </w:rPr>
        <w:t>主题鲜明、观点正确、事例生动、感情真挚</w:t>
      </w:r>
      <w:r>
        <w:rPr>
          <w:rFonts w:hint="eastAsia" w:eastAsia="仿宋_GB2312"/>
          <w:sz w:val="32"/>
          <w:szCs w:val="32"/>
          <w:highlight w:val="none"/>
        </w:rPr>
        <w:t>。演讲文本必须为参赛者原创，严禁抄袭、剽窃，引用经典比例不超过20%并注明出处。</w:t>
      </w: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（二）形式要求</w:t>
      </w:r>
    </w:p>
    <w:p w14:paraId="5F2BCC14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使用国家通用语言文字创作参赛作品，且为2026年新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录制创作的视频，横屏拍摄，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格式为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sz w:val="32"/>
          <w:szCs w:val="32"/>
        </w:rPr>
        <w:t>教师组视频长度为8分钟以内，学生组视频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长度为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以内。视频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清晰度不低于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720P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，大小不超过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700MB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图像、声音清晰，不抖动、无噪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，参赛者须出镜</w:t>
      </w: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视频须一镜到底，不得剪辑、拼接，可适当配乐。</w:t>
      </w:r>
    </w:p>
    <w:p w14:paraId="6602B101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  <w:highlight w:val="none"/>
        </w:rPr>
        <w:t>视频开头以文字方式展示作品名称、组别等信息。信息须正确、规范，与赛事平台填报信息一致。不可出现参赛者姓名、指导教师姓名、学校或单位等信息。视频文字建议使用方正字库字体或其他有版权的字体。视频中不得使用未经肖像权人同意的肖像，不得使用未经授权的图片、视频和音频，</w:t>
      </w:r>
      <w:r>
        <w:rPr>
          <w:rFonts w:hint="eastAsia" w:eastAsia="仿宋_GB2312"/>
          <w:kern w:val="0"/>
          <w:sz w:val="32"/>
          <w:szCs w:val="32"/>
          <w:highlight w:val="none"/>
        </w:rPr>
        <w:t>应使用正确表示国家版图的地图，</w:t>
      </w:r>
      <w:r>
        <w:rPr>
          <w:rFonts w:hint="eastAsia" w:eastAsia="仿宋_GB2312"/>
          <w:sz w:val="32"/>
          <w:szCs w:val="32"/>
          <w:highlight w:val="none"/>
        </w:rPr>
        <w:t>不得出现与大赛无关的条幅、角标等。</w:t>
      </w:r>
    </w:p>
    <w:p w14:paraId="1FF25EE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721366E8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每人限报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件作品，限报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名指导教师。同一作品的参赛者不得同时署名该作品的指导教师。</w:t>
      </w:r>
    </w:p>
    <w:p w14:paraId="6D63BD8A">
      <w:pPr>
        <w:widowControl/>
        <w:adjustRightInd w:val="0"/>
        <w:snapToGrid w:val="0"/>
        <w:spacing w:line="600" w:lineRule="exact"/>
        <w:ind w:firstLine="640" w:firstLineChars="200"/>
        <w:rPr>
          <w:rFonts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39E0EC90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40E5F77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6月12日24:00前，参赛选手使用微信扫一扫下方二维码登录学校微信企业号，进入“第八届中华经典诵写讲大赛校内报名”，找到对应报名入口。</w:t>
      </w:r>
    </w:p>
    <w:p w14:paraId="5B22BB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012950" cy="20523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8EF8">
      <w:pPr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请使用微信扫描二维码</w:t>
      </w:r>
    </w:p>
    <w:p w14:paraId="3B3B820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作品提交时请注意：将所有报名材料压缩打包命名为“</w:t>
      </w:r>
      <w:r>
        <w:rPr>
          <w:rFonts w:hint="eastAsia" w:ascii="仿宋_GB2312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诗教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中国+中国石油大学（北京）+组别+作品名称</w:t>
      </w:r>
      <w:r>
        <w:rPr>
          <w:rFonts w:hint="eastAsia" w:ascii="仿宋_GB2312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+作品负责人姓名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再上传。</w:t>
      </w:r>
    </w:p>
    <w:p w14:paraId="3FA33C88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1C08A9AF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学校将组织专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家评审，择优推荐参加北京赛区选拔赛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并组织被推荐人在大赛官网完成注册、赛事报名、语言文字知识及诗词常识测评、作品评审。测评可多次进行，60分以上方可获得参赛资格。各组别推荐参赛者数量无限制。</w:t>
      </w:r>
    </w:p>
    <w:p w14:paraId="12411047">
      <w:pPr>
        <w:pStyle w:val="7"/>
        <w:ind w:left="0" w:leftChars="0" w:firstLine="640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070F2E03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57845C50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被推荐的参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赛者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进入“诗教中国”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讲解专区，按照参赛指引完成作品提交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80299-C8C2-48F2-BD73-606D745FB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14EEB6B-6654-4478-B317-C47D5E3573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63998D-810F-4752-8FE8-B6CF6037FE2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30373E-543A-42D8-9651-78910B0005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6F5A275E"/>
    <w:rsid w:val="013C246A"/>
    <w:rsid w:val="067C439F"/>
    <w:rsid w:val="07344C35"/>
    <w:rsid w:val="08B4450F"/>
    <w:rsid w:val="0F8E5C90"/>
    <w:rsid w:val="1780534F"/>
    <w:rsid w:val="20010C5F"/>
    <w:rsid w:val="33B65F28"/>
    <w:rsid w:val="4BDE2D47"/>
    <w:rsid w:val="4BEF286E"/>
    <w:rsid w:val="65F52031"/>
    <w:rsid w:val="6F5A275E"/>
    <w:rsid w:val="71EC42E8"/>
    <w:rsid w:val="722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7">
    <w:name w:val="Body Text First Indent 21"/>
    <w:basedOn w:val="8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8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1535</Words>
  <Characters>1582</Characters>
  <Lines>0</Lines>
  <Paragraphs>0</Paragraphs>
  <TotalTime>3</TotalTime>
  <ScaleCrop>false</ScaleCrop>
  <LinksUpToDate>false</LinksUpToDate>
  <CharactersWithSpaces>1582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2025-04-08T00:23:00Z</dcterms:created>
  <dc:creator>王星</dc:creator>
  <cp:lastModifiedBy>王星</cp:lastModifiedBy>
  <dcterms:modified xsi:type="dcterms:W3CDTF">2026-05-31T01:16:15Z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86D6F4ED1F9B493D94E073304A086DCE_13</vt:lpwstr>
  </property>
  <property fmtid="{D5CDD505-2E9C-101B-9397-08002B2CF9AE}" pid="4" name="KSOTemplateDocerSaveRecord">
    <vt:lpwstr>eyJoZGlkIjoiZjI0MDMwMzgxZWZkOWI5OWMyNmIyNDliNjBiNzc1ZTciLCJ1c2VySWQiOiIxNTU3ODQ3NTYxIn0=</vt:lpwstr>
  </property>
</Properties>
</file>