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18A" w:rsidRPr="0015718A" w:rsidRDefault="0015718A" w:rsidP="0015718A">
      <w:pPr>
        <w:widowControl/>
        <w:shd w:val="clear" w:color="auto" w:fill="FFFFFF"/>
        <w:spacing w:line="560" w:lineRule="exact"/>
        <w:jc w:val="left"/>
        <w:rPr>
          <w:rFonts w:ascii="仿宋" w:eastAsia="仿宋" w:hAnsi="仿宋" w:cs="宋体"/>
          <w:color w:val="000000"/>
          <w:kern w:val="0"/>
          <w:sz w:val="28"/>
          <w:szCs w:val="28"/>
        </w:rPr>
      </w:pPr>
      <w:r w:rsidRPr="0015718A">
        <w:rPr>
          <w:rFonts w:ascii="仿宋" w:eastAsia="仿宋" w:hAnsi="仿宋" w:cs="宋体" w:hint="eastAsia"/>
          <w:color w:val="000000"/>
          <w:kern w:val="0"/>
          <w:sz w:val="28"/>
          <w:szCs w:val="28"/>
        </w:rPr>
        <w:t>附件</w:t>
      </w:r>
      <w:r w:rsidR="003B30D8">
        <w:rPr>
          <w:rFonts w:ascii="仿宋" w:eastAsia="仿宋" w:hAnsi="仿宋" w:cs="宋体"/>
          <w:color w:val="000000"/>
          <w:kern w:val="0"/>
          <w:sz w:val="28"/>
          <w:szCs w:val="28"/>
        </w:rPr>
        <w:t>3</w:t>
      </w:r>
      <w:bookmarkStart w:id="0" w:name="_GoBack"/>
      <w:bookmarkEnd w:id="0"/>
      <w:r w:rsidRPr="0015718A">
        <w:rPr>
          <w:rFonts w:ascii="仿宋" w:eastAsia="仿宋" w:hAnsi="仿宋" w:cs="宋体" w:hint="eastAsia"/>
          <w:color w:val="000000"/>
          <w:kern w:val="0"/>
          <w:sz w:val="28"/>
          <w:szCs w:val="28"/>
        </w:rPr>
        <w:t>：</w:t>
      </w:r>
    </w:p>
    <w:p w:rsidR="008077E4" w:rsidRPr="00D77089" w:rsidRDefault="008077E4" w:rsidP="008077E4">
      <w:pPr>
        <w:spacing w:before="240" w:after="220" w:line="560" w:lineRule="exact"/>
        <w:jc w:val="center"/>
        <w:outlineLvl w:val="0"/>
        <w:rPr>
          <w:rFonts w:ascii="仿宋" w:eastAsia="仿宋" w:hAnsi="仿宋" w:cs="Times New Roman"/>
          <w:b/>
          <w:bCs/>
          <w:color w:val="000000"/>
          <w:sz w:val="28"/>
          <w:szCs w:val="28"/>
        </w:rPr>
      </w:pPr>
      <w:bookmarkStart w:id="1" w:name="_Toc51152433"/>
      <w:r w:rsidRPr="00D77089">
        <w:rPr>
          <w:rFonts w:ascii="仿宋" w:eastAsia="仿宋" w:hAnsi="仿宋" w:cs="Times New Roman" w:hint="eastAsia"/>
          <w:b/>
          <w:bCs/>
          <w:color w:val="000000"/>
          <w:sz w:val="28"/>
          <w:szCs w:val="28"/>
        </w:rPr>
        <w:t>先进科学与工程计算博士研究生在学期间学术创新成果基本要求</w:t>
      </w:r>
      <w:bookmarkEnd w:id="1"/>
    </w:p>
    <w:p w:rsidR="008077E4" w:rsidRDefault="008077E4" w:rsidP="008077E4">
      <w:pPr>
        <w:adjustRightInd w:val="0"/>
        <w:snapToGrid w:val="0"/>
        <w:spacing w:line="560" w:lineRule="exact"/>
        <w:ind w:firstLineChars="200" w:firstLine="562"/>
        <w:rPr>
          <w:rFonts w:ascii="仿宋" w:eastAsia="仿宋" w:hAnsi="仿宋" w:cs="宋体"/>
          <w:b/>
          <w:color w:val="000000"/>
          <w:kern w:val="0"/>
          <w:sz w:val="28"/>
          <w:szCs w:val="28"/>
        </w:rPr>
      </w:pP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先进科学与工程计算交叉学科博士生在申请博士学位时，除满足学校博士学位授予的基本条件外，还需满足本学科对博士生在学期间发表学术成果的要求。</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先进科学与工程计算交叉学科博士生在全面完成博士阶段学术研究工作的基础上，学术成果以学术期刊论文、学术会议论文、发明专利等形式呈现，学术成果以积分制方式计分。博士生学术成果积分达到5分及以上，其中至少在国际高水平学术期刊上发表1篇学术论文，并至少在北大中文核心期刊上发表一篇学术论文，方可申请博士学位。学术成果积分的计算规则如下：</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1. SCI收录期刊：JCR 1区或TOP计8分、JCR 2区计5.5分、JCR 3区计4分、JCR 4区计2.5分。</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2. CCF（中国计算机学会）推荐期刊、会议：A</w:t>
      </w:r>
      <w:proofErr w:type="gramStart"/>
      <w:r w:rsidRPr="0012008A">
        <w:rPr>
          <w:rFonts w:ascii="仿宋" w:eastAsia="仿宋" w:hAnsi="仿宋" w:hint="eastAsia"/>
          <w:color w:val="000000"/>
          <w:sz w:val="28"/>
          <w:szCs w:val="28"/>
        </w:rPr>
        <w:t>类计8分</w:t>
      </w:r>
      <w:proofErr w:type="gramEnd"/>
      <w:r w:rsidRPr="0012008A">
        <w:rPr>
          <w:rFonts w:ascii="仿宋" w:eastAsia="仿宋" w:hAnsi="仿宋" w:hint="eastAsia"/>
          <w:color w:val="000000"/>
          <w:sz w:val="28"/>
          <w:szCs w:val="28"/>
        </w:rPr>
        <w:t>、B</w:t>
      </w:r>
      <w:proofErr w:type="gramStart"/>
      <w:r w:rsidRPr="0012008A">
        <w:rPr>
          <w:rFonts w:ascii="仿宋" w:eastAsia="仿宋" w:hAnsi="仿宋" w:hint="eastAsia"/>
          <w:color w:val="000000"/>
          <w:sz w:val="28"/>
          <w:szCs w:val="28"/>
        </w:rPr>
        <w:t>类</w:t>
      </w:r>
      <w:proofErr w:type="gramEnd"/>
      <w:r w:rsidRPr="0012008A">
        <w:rPr>
          <w:rFonts w:ascii="仿宋" w:eastAsia="仿宋" w:hAnsi="仿宋" w:hint="eastAsia"/>
          <w:color w:val="000000"/>
          <w:sz w:val="28"/>
          <w:szCs w:val="28"/>
        </w:rPr>
        <w:t>计5.5分、C</w:t>
      </w:r>
      <w:proofErr w:type="gramStart"/>
      <w:r w:rsidRPr="0012008A">
        <w:rPr>
          <w:rFonts w:ascii="仿宋" w:eastAsia="仿宋" w:hAnsi="仿宋" w:hint="eastAsia"/>
          <w:color w:val="000000"/>
          <w:sz w:val="28"/>
          <w:szCs w:val="28"/>
        </w:rPr>
        <w:t>类计3</w:t>
      </w:r>
      <w:proofErr w:type="gramEnd"/>
      <w:r w:rsidRPr="0012008A">
        <w:rPr>
          <w:rFonts w:ascii="仿宋" w:eastAsia="仿宋" w:hAnsi="仿宋" w:hint="eastAsia"/>
          <w:color w:val="000000"/>
          <w:sz w:val="28"/>
          <w:szCs w:val="28"/>
        </w:rPr>
        <w:t>分。</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3. 中文</w:t>
      </w:r>
      <w:proofErr w:type="gramStart"/>
      <w:r w:rsidRPr="0012008A">
        <w:rPr>
          <w:rFonts w:ascii="仿宋" w:eastAsia="仿宋" w:hAnsi="仿宋" w:hint="eastAsia"/>
          <w:color w:val="000000"/>
          <w:sz w:val="28"/>
          <w:szCs w:val="28"/>
        </w:rPr>
        <w:t>学报级</w:t>
      </w:r>
      <w:proofErr w:type="gramEnd"/>
      <w:r w:rsidRPr="0012008A">
        <w:rPr>
          <w:rFonts w:ascii="仿宋" w:eastAsia="仿宋" w:hAnsi="仿宋" w:hint="eastAsia"/>
          <w:color w:val="000000"/>
          <w:sz w:val="28"/>
          <w:szCs w:val="28"/>
        </w:rPr>
        <w:t>期刊计2分，英文EI期刊计1.5分，中文EI期刊计1分，普通中文核心期刊计0.5分，发明专利授权计1分。</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4. 实用</w:t>
      </w:r>
      <w:proofErr w:type="gramStart"/>
      <w:r w:rsidRPr="0012008A">
        <w:rPr>
          <w:rFonts w:ascii="仿宋" w:eastAsia="仿宋" w:hAnsi="仿宋" w:hint="eastAsia"/>
          <w:color w:val="000000"/>
          <w:sz w:val="28"/>
          <w:szCs w:val="28"/>
        </w:rPr>
        <w:t>新型不</w:t>
      </w:r>
      <w:proofErr w:type="gramEnd"/>
      <w:r w:rsidRPr="0012008A">
        <w:rPr>
          <w:rFonts w:ascii="仿宋" w:eastAsia="仿宋" w:hAnsi="仿宋" w:hint="eastAsia"/>
          <w:color w:val="000000"/>
          <w:sz w:val="28"/>
          <w:szCs w:val="28"/>
        </w:rPr>
        <w:t>计分，科技奖励不计分。</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关于学术成果积分的计算规则说明：</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（1）检索依据期刊信息，对论文检索不作要求。会议论文积分不包括学校要求的1篇出境参加国际会</w:t>
      </w:r>
      <w:proofErr w:type="gramStart"/>
      <w:r w:rsidRPr="0012008A">
        <w:rPr>
          <w:rFonts w:ascii="仿宋" w:eastAsia="仿宋" w:hAnsi="仿宋" w:hint="eastAsia"/>
          <w:color w:val="000000"/>
          <w:sz w:val="28"/>
          <w:szCs w:val="28"/>
        </w:rPr>
        <w:t>议发表</w:t>
      </w:r>
      <w:proofErr w:type="gramEnd"/>
      <w:r w:rsidRPr="0012008A">
        <w:rPr>
          <w:rFonts w:ascii="仿宋" w:eastAsia="仿宋" w:hAnsi="仿宋" w:hint="eastAsia"/>
          <w:color w:val="000000"/>
          <w:sz w:val="28"/>
          <w:szCs w:val="28"/>
        </w:rPr>
        <w:t>论文，CCF推荐会议C类论文积分只计1篇。计分不重复，就高计分。</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（2）中文</w:t>
      </w:r>
      <w:proofErr w:type="gramStart"/>
      <w:r w:rsidRPr="0012008A">
        <w:rPr>
          <w:rFonts w:ascii="仿宋" w:eastAsia="仿宋" w:hAnsi="仿宋" w:hint="eastAsia"/>
          <w:color w:val="000000"/>
          <w:sz w:val="28"/>
          <w:szCs w:val="28"/>
        </w:rPr>
        <w:t>学报级</w:t>
      </w:r>
      <w:proofErr w:type="gramEnd"/>
      <w:r w:rsidRPr="0012008A">
        <w:rPr>
          <w:rFonts w:ascii="仿宋" w:eastAsia="仿宋" w:hAnsi="仿宋" w:hint="eastAsia"/>
          <w:color w:val="000000"/>
          <w:sz w:val="28"/>
          <w:szCs w:val="28"/>
        </w:rPr>
        <w:t>期刊列表：中国科学E辑、自动化学报、控制</w:t>
      </w:r>
      <w:r w:rsidRPr="0012008A">
        <w:rPr>
          <w:rFonts w:ascii="仿宋" w:eastAsia="仿宋" w:hAnsi="仿宋" w:hint="eastAsia"/>
          <w:color w:val="000000"/>
          <w:sz w:val="28"/>
          <w:szCs w:val="28"/>
        </w:rPr>
        <w:lastRenderedPageBreak/>
        <w:t>与决策、控制理论与应用、计算机研究与发展、计算机学报、软件学报、计算机辅助设计与图形学学报、电子学报、电子与信息学报、系统工程与电子技术、仪器仪表学报、物理学报、地球物理学报、化工学报、高校化学工程学报、石油学报（不含石油加工版）、机械工程学报、中国电机工程学报。待列入</w:t>
      </w:r>
      <w:proofErr w:type="gramStart"/>
      <w:r w:rsidRPr="0012008A">
        <w:rPr>
          <w:rFonts w:ascii="仿宋" w:eastAsia="仿宋" w:hAnsi="仿宋" w:hint="eastAsia"/>
          <w:color w:val="000000"/>
          <w:sz w:val="28"/>
          <w:szCs w:val="28"/>
        </w:rPr>
        <w:t>学报级</w:t>
      </w:r>
      <w:proofErr w:type="gramEnd"/>
      <w:r w:rsidRPr="0012008A">
        <w:rPr>
          <w:rFonts w:ascii="仿宋" w:eastAsia="仿宋" w:hAnsi="仿宋" w:hint="eastAsia"/>
          <w:color w:val="000000"/>
          <w:sz w:val="28"/>
          <w:szCs w:val="28"/>
        </w:rPr>
        <w:t>期刊由学院学科发展分委员会决定。</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（3）博士生发表的学术成果必须是我校为第一单位，本人为第一作者且导师署名（学校要求）。</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4）博士生在《石油科学通报》上发表的论文“视同为JCR四区收录期刊论文”；规定每名博士生最多只有1篇在《石油科学通报》发表的论文可视同为JCR四区收录期刊论文。博士生在《石油科学通报》上发表的论文发表有效期从2016年6月开始，截止日期为2021年最后一期。计2.5分。</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（5）普通中文核心期刊限2篇及以内。</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2008A">
        <w:rPr>
          <w:rFonts w:ascii="仿宋" w:eastAsia="仿宋" w:hAnsi="仿宋" w:hint="eastAsia"/>
          <w:color w:val="000000"/>
          <w:sz w:val="28"/>
          <w:szCs w:val="28"/>
        </w:rPr>
        <w:t>（6）发明专利授权限2项及以内。</w:t>
      </w:r>
    </w:p>
    <w:p w:rsidR="008077E4" w:rsidRPr="0012008A" w:rsidRDefault="008077E4" w:rsidP="008077E4">
      <w:pPr>
        <w:adjustRightInd w:val="0"/>
        <w:snapToGrid w:val="0"/>
        <w:spacing w:line="560" w:lineRule="exact"/>
        <w:ind w:firstLineChars="200" w:firstLine="560"/>
        <w:rPr>
          <w:rFonts w:ascii="仿宋" w:eastAsia="仿宋" w:hAnsi="仿宋"/>
          <w:color w:val="000000"/>
          <w:sz w:val="28"/>
          <w:szCs w:val="28"/>
        </w:rPr>
      </w:pPr>
      <w:r w:rsidRPr="001C6979">
        <w:rPr>
          <w:rFonts w:ascii="仿宋" w:eastAsia="仿宋" w:hAnsi="仿宋" w:hint="eastAsia"/>
          <w:color w:val="000000"/>
          <w:sz w:val="28"/>
          <w:szCs w:val="28"/>
        </w:rPr>
        <w:t>本规定自2021级博士生开始执行，由</w:t>
      </w:r>
      <w:r w:rsidRPr="0012008A">
        <w:rPr>
          <w:rFonts w:ascii="仿宋" w:eastAsia="仿宋" w:hAnsi="仿宋" w:hint="eastAsia"/>
          <w:color w:val="000000"/>
          <w:sz w:val="28"/>
          <w:szCs w:val="28"/>
        </w:rPr>
        <w:t>信息科学与工程学院</w:t>
      </w:r>
      <w:r w:rsidRPr="001C6979">
        <w:rPr>
          <w:rFonts w:ascii="仿宋" w:eastAsia="仿宋" w:hAnsi="仿宋" w:hint="eastAsia"/>
          <w:color w:val="000000"/>
          <w:sz w:val="28"/>
          <w:szCs w:val="28"/>
        </w:rPr>
        <w:t>学位</w:t>
      </w:r>
      <w:proofErr w:type="gramStart"/>
      <w:r w:rsidRPr="001C6979">
        <w:rPr>
          <w:rFonts w:ascii="仿宋" w:eastAsia="仿宋" w:hAnsi="仿宋" w:hint="eastAsia"/>
          <w:color w:val="000000"/>
          <w:sz w:val="28"/>
          <w:szCs w:val="28"/>
        </w:rPr>
        <w:t>评定分</w:t>
      </w:r>
      <w:proofErr w:type="gramEnd"/>
      <w:r w:rsidRPr="001C6979">
        <w:rPr>
          <w:rFonts w:ascii="仿宋" w:eastAsia="仿宋" w:hAnsi="仿宋" w:hint="eastAsia"/>
          <w:color w:val="000000"/>
          <w:sz w:val="28"/>
          <w:szCs w:val="28"/>
        </w:rPr>
        <w:t>委员会负责解释。</w:t>
      </w:r>
    </w:p>
    <w:p w:rsidR="003B0131" w:rsidRPr="008077E4" w:rsidRDefault="003B0131" w:rsidP="008077E4">
      <w:pPr>
        <w:spacing w:before="240" w:after="220" w:line="560" w:lineRule="exact"/>
        <w:jc w:val="center"/>
        <w:outlineLvl w:val="0"/>
        <w:rPr>
          <w:rFonts w:ascii="仿宋" w:eastAsia="仿宋" w:hAnsi="仿宋" w:cs="Cambria"/>
          <w:color w:val="000000"/>
          <w:kern w:val="0"/>
          <w:sz w:val="28"/>
          <w:szCs w:val="28"/>
        </w:rPr>
      </w:pPr>
    </w:p>
    <w:sectPr w:rsidR="003B0131" w:rsidRPr="008077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1D5" w:rsidRDefault="00FC21D5" w:rsidP="003B30D8">
      <w:r>
        <w:separator/>
      </w:r>
    </w:p>
  </w:endnote>
  <w:endnote w:type="continuationSeparator" w:id="0">
    <w:p w:rsidR="00FC21D5" w:rsidRDefault="00FC21D5" w:rsidP="003B3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1D5" w:rsidRDefault="00FC21D5" w:rsidP="003B30D8">
      <w:r>
        <w:separator/>
      </w:r>
    </w:p>
  </w:footnote>
  <w:footnote w:type="continuationSeparator" w:id="0">
    <w:p w:rsidR="00FC21D5" w:rsidRDefault="00FC21D5" w:rsidP="003B30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18A"/>
    <w:rsid w:val="0015718A"/>
    <w:rsid w:val="003B0131"/>
    <w:rsid w:val="003B30D8"/>
    <w:rsid w:val="008077E4"/>
    <w:rsid w:val="00FC2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8E7AC"/>
  <w15:chartTrackingRefBased/>
  <w15:docId w15:val="{F8272085-4DE8-440A-9F16-DB977161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30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B30D8"/>
    <w:rPr>
      <w:sz w:val="18"/>
      <w:szCs w:val="18"/>
    </w:rPr>
  </w:style>
  <w:style w:type="paragraph" w:styleId="a5">
    <w:name w:val="footer"/>
    <w:basedOn w:val="a"/>
    <w:link w:val="a6"/>
    <w:uiPriority w:val="99"/>
    <w:unhideWhenUsed/>
    <w:rsid w:val="003B30D8"/>
    <w:pPr>
      <w:tabs>
        <w:tab w:val="center" w:pos="4153"/>
        <w:tab w:val="right" w:pos="8306"/>
      </w:tabs>
      <w:snapToGrid w:val="0"/>
      <w:jc w:val="left"/>
    </w:pPr>
    <w:rPr>
      <w:sz w:val="18"/>
      <w:szCs w:val="18"/>
    </w:rPr>
  </w:style>
  <w:style w:type="character" w:customStyle="1" w:styleId="a6">
    <w:name w:val="页脚 字符"/>
    <w:basedOn w:val="a0"/>
    <w:link w:val="a5"/>
    <w:uiPriority w:val="99"/>
    <w:rsid w:val="003B30D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148</Words>
  <Characters>846</Characters>
  <Application>Microsoft Office Word</Application>
  <DocSecurity>0</DocSecurity>
  <Lines>7</Lines>
  <Paragraphs>1</Paragraphs>
  <ScaleCrop>false</ScaleCrop>
  <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马路尧</dc:creator>
  <cp:keywords/>
  <dc:description/>
  <cp:lastModifiedBy>马路尧</cp:lastModifiedBy>
  <cp:revision>3</cp:revision>
  <dcterms:created xsi:type="dcterms:W3CDTF">2020-10-12T07:25:00Z</dcterms:created>
  <dcterms:modified xsi:type="dcterms:W3CDTF">2020-10-12T07:27:00Z</dcterms:modified>
</cp:coreProperties>
</file>