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Tahoma"/>
          <w:b/>
          <w:sz w:val="30"/>
          <w:szCs w:val="30"/>
        </w:rPr>
        <w:t>年地球科学学院 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>
      <w:pPr>
        <w:spacing w:before="312" w:beforeLines="100" w:line="500" w:lineRule="exact"/>
        <w:rPr>
          <w:rFonts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>
      <w:pPr>
        <w:spacing w:line="500" w:lineRule="exact"/>
        <w:ind w:firstLine="480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2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生源需求：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本科专业和报考专业需求详见《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年地球科学学院硕士研究生调剂工作实施细则》。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>
      <w:pPr>
        <w:spacing w:before="312" w:beforeLines="100" w:after="156" w:afterLines="50" w:line="500" w:lineRule="exact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50"/>
        <w:gridCol w:w="1190"/>
        <w:gridCol w:w="1720"/>
        <w:gridCol w:w="2059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徐朝晖、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岳大力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、吴欣松、李庆、</w:t>
            </w:r>
          </w:p>
          <w:p>
            <w:pPr>
              <w:jc w:val="center"/>
              <w:rPr>
                <w:rFonts w:hint="default" w:eastAsia="黑体" w:cs="Tahoma"/>
                <w:bCs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孙盼科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cs="Tahoma"/>
                <w:bCs/>
                <w:sz w:val="24"/>
                <w:szCs w:val="28"/>
              </w:rPr>
              <w:t>5</w:t>
            </w:r>
          </w:p>
        </w:tc>
      </w:tr>
    </w:tbl>
    <w:p>
      <w:pPr>
        <w:rPr>
          <w:rFonts w:cs="Tahoma"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518095D"/>
    <w:rsid w:val="06962E94"/>
    <w:rsid w:val="0E0A2F37"/>
    <w:rsid w:val="165723EC"/>
    <w:rsid w:val="328D41BE"/>
    <w:rsid w:val="3AA540EC"/>
    <w:rsid w:val="456568CA"/>
    <w:rsid w:val="47A918D6"/>
    <w:rsid w:val="520774A2"/>
    <w:rsid w:val="57354F79"/>
    <w:rsid w:val="685C741B"/>
    <w:rsid w:val="689E2AF4"/>
    <w:rsid w:val="6B655563"/>
    <w:rsid w:val="75D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qFormat/>
    <w:uiPriority w:val="0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autoRedefine/>
    <w:qFormat/>
    <w:uiPriority w:val="0"/>
    <w:rPr>
      <w:b/>
      <w:bCs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autoRedefine/>
    <w:qFormat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4"/>
    <w:autoRedefine/>
    <w:qFormat/>
    <w:uiPriority w:val="0"/>
    <w:rPr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32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2025-03-27T01:24:29Z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707F2CAF4A82442D9479787DFC4408B3_13</vt:lpwstr>
  </property>
</Properties>
</file>