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100" w:rsidRDefault="00717100" w:rsidP="00717100">
      <w:pPr>
        <w:spacing w:after="75" w:line="440" w:lineRule="exact"/>
        <w:jc w:val="center"/>
        <w:rPr>
          <w:rFonts w:ascii="黑体" w:eastAsia="黑体" w:hAnsi="黑体" w:cs="宋体"/>
          <w:b/>
          <w:sz w:val="32"/>
          <w:szCs w:val="32"/>
        </w:rPr>
      </w:pPr>
      <w:r w:rsidRPr="00717100">
        <w:rPr>
          <w:rFonts w:ascii="黑体" w:eastAsia="黑体" w:hAnsi="黑体" w:cs="宋体" w:hint="eastAsia"/>
          <w:b/>
          <w:sz w:val="32"/>
          <w:szCs w:val="32"/>
        </w:rPr>
        <w:t>我</w:t>
      </w:r>
      <w:r w:rsidRPr="00717100">
        <w:rPr>
          <w:rFonts w:ascii="黑体" w:eastAsia="黑体" w:hAnsi="黑体" w:cs="宋体"/>
          <w:b/>
          <w:sz w:val="32"/>
          <w:szCs w:val="32"/>
        </w:rPr>
        <w:t>校上海合作组织大学合作院校</w:t>
      </w:r>
    </w:p>
    <w:p w:rsidR="00717100" w:rsidRPr="00717100" w:rsidRDefault="00717100" w:rsidP="00717100">
      <w:pPr>
        <w:spacing w:after="75" w:line="440" w:lineRule="exact"/>
        <w:jc w:val="center"/>
        <w:rPr>
          <w:rFonts w:ascii="黑体" w:eastAsia="黑体" w:hAnsi="黑体" w:cs="宋体" w:hint="eastAsia"/>
          <w:b/>
          <w:sz w:val="32"/>
          <w:szCs w:val="32"/>
        </w:rPr>
      </w:pPr>
    </w:p>
    <w:p w:rsidR="009E3A3E" w:rsidRPr="00BB15CF" w:rsidRDefault="00BB15CF" w:rsidP="00717100">
      <w:pPr>
        <w:spacing w:after="75" w:line="440" w:lineRule="exact"/>
        <w:rPr>
          <w:rFonts w:ascii="仿宋" w:eastAsia="仿宋" w:hAnsi="仿宋" w:cs="宋体"/>
          <w:b/>
          <w:sz w:val="28"/>
          <w:szCs w:val="28"/>
        </w:rPr>
      </w:pPr>
      <w:r>
        <w:rPr>
          <w:rFonts w:ascii="仿宋" w:eastAsia="仿宋" w:hAnsi="仿宋" w:cs="宋体" w:hint="eastAsia"/>
          <w:b/>
          <w:sz w:val="28"/>
          <w:szCs w:val="28"/>
        </w:rPr>
        <w:t>一</w:t>
      </w:r>
      <w:r>
        <w:rPr>
          <w:rFonts w:ascii="仿宋" w:eastAsia="仿宋" w:hAnsi="仿宋" w:cs="宋体"/>
          <w:b/>
          <w:sz w:val="28"/>
          <w:szCs w:val="28"/>
        </w:rPr>
        <w:t>、</w:t>
      </w:r>
      <w:r w:rsidR="009E3A3E" w:rsidRPr="00BB15CF">
        <w:rPr>
          <w:rFonts w:ascii="仿宋" w:eastAsia="仿宋" w:hAnsi="仿宋" w:cs="宋体" w:hint="eastAsia"/>
          <w:b/>
          <w:sz w:val="28"/>
          <w:szCs w:val="28"/>
        </w:rPr>
        <w:t>俄罗斯南乌拉尔国立大学</w:t>
      </w:r>
    </w:p>
    <w:p w:rsidR="009E3A3E" w:rsidRPr="00BB15CF" w:rsidRDefault="009E3A3E" w:rsidP="00717100">
      <w:pPr>
        <w:pStyle w:val="a5"/>
        <w:spacing w:after="75" w:line="440" w:lineRule="exact"/>
        <w:ind w:left="360"/>
        <w:rPr>
          <w:rFonts w:ascii="仿宋" w:eastAsia="仿宋" w:hAnsi="仿宋" w:cs="宋体"/>
          <w:b/>
          <w:sz w:val="28"/>
          <w:szCs w:val="28"/>
        </w:rPr>
      </w:pPr>
      <w:r w:rsidRPr="00BB15CF">
        <w:rPr>
          <w:rFonts w:ascii="仿宋" w:eastAsia="仿宋" w:hAnsi="仿宋" w:cs="宋体"/>
          <w:b/>
          <w:sz w:val="28"/>
          <w:szCs w:val="28"/>
        </w:rPr>
        <w:t>合作方向</w:t>
      </w:r>
      <w:r w:rsidRPr="00BB15CF">
        <w:rPr>
          <w:rFonts w:ascii="仿宋" w:eastAsia="仿宋" w:hAnsi="仿宋" w:cs="宋体" w:hint="eastAsia"/>
          <w:b/>
          <w:sz w:val="28"/>
          <w:szCs w:val="28"/>
        </w:rPr>
        <w:t>：</w:t>
      </w:r>
      <w:r w:rsidRPr="00BB15CF">
        <w:rPr>
          <w:rFonts w:ascii="仿宋" w:eastAsia="仿宋" w:hAnsi="仿宋" w:cs="宋体"/>
          <w:b/>
          <w:sz w:val="28"/>
          <w:szCs w:val="28"/>
        </w:rPr>
        <w:t>能源学</w:t>
      </w:r>
    </w:p>
    <w:p w:rsidR="009E3A3E" w:rsidRPr="00BB15CF" w:rsidRDefault="009E3A3E" w:rsidP="00717100">
      <w:pPr>
        <w:pStyle w:val="a5"/>
        <w:spacing w:line="440" w:lineRule="exact"/>
        <w:ind w:left="360"/>
        <w:rPr>
          <w:rFonts w:ascii="仿宋" w:eastAsia="仿宋" w:hAnsi="仿宋" w:cs="宋体"/>
          <w:b/>
          <w:sz w:val="28"/>
          <w:szCs w:val="28"/>
        </w:rPr>
      </w:pPr>
      <w:r w:rsidRPr="00BB15CF">
        <w:rPr>
          <w:rFonts w:ascii="仿宋" w:eastAsia="仿宋" w:hAnsi="仿宋" w:cs="宋体" w:hint="eastAsia"/>
          <w:b/>
          <w:sz w:val="28"/>
          <w:szCs w:val="28"/>
        </w:rPr>
        <w:t>可申请专业：过程自动化（两校已签订化工、自动化双学位联合培养协议，化工相关专业硕士生可以报名）</w:t>
      </w:r>
    </w:p>
    <w:p w:rsidR="009E3A3E" w:rsidRPr="00BB15CF" w:rsidRDefault="009E3A3E" w:rsidP="00717100">
      <w:pPr>
        <w:pStyle w:val="a5"/>
        <w:spacing w:line="440" w:lineRule="exact"/>
        <w:ind w:left="360"/>
        <w:rPr>
          <w:rFonts w:ascii="仿宋" w:eastAsia="仿宋" w:hAnsi="仿宋" w:cs="宋体"/>
          <w:b/>
          <w:sz w:val="28"/>
          <w:szCs w:val="28"/>
        </w:rPr>
      </w:pPr>
      <w:r w:rsidRPr="00BB15CF">
        <w:rPr>
          <w:rFonts w:ascii="仿宋" w:eastAsia="仿宋" w:hAnsi="仿宋" w:cs="宋体" w:hint="eastAsia"/>
          <w:b/>
          <w:sz w:val="28"/>
          <w:szCs w:val="28"/>
        </w:rPr>
        <w:t>授课语言：英语</w:t>
      </w:r>
    </w:p>
    <w:p w:rsidR="009E3A3E" w:rsidRPr="00BB15CF" w:rsidRDefault="009E3A3E" w:rsidP="00717100">
      <w:pPr>
        <w:pStyle w:val="a5"/>
        <w:spacing w:line="440" w:lineRule="exact"/>
        <w:ind w:left="360"/>
        <w:rPr>
          <w:rFonts w:ascii="仿宋" w:eastAsia="仿宋" w:hAnsi="仿宋" w:cs="宋体"/>
          <w:b/>
          <w:sz w:val="28"/>
          <w:szCs w:val="28"/>
        </w:rPr>
      </w:pPr>
      <w:r w:rsidRPr="00BB15CF">
        <w:rPr>
          <w:rFonts w:ascii="仿宋" w:eastAsia="仿宋" w:hAnsi="仿宋" w:cs="宋体" w:hint="eastAsia"/>
          <w:b/>
          <w:sz w:val="28"/>
          <w:szCs w:val="28"/>
        </w:rPr>
        <w:t>学习时间：一年</w:t>
      </w:r>
    </w:p>
    <w:p w:rsidR="009E3A3E" w:rsidRPr="00BB15CF" w:rsidRDefault="009E3A3E" w:rsidP="00717100">
      <w:pPr>
        <w:pStyle w:val="a5"/>
        <w:spacing w:line="440" w:lineRule="exact"/>
        <w:ind w:left="360"/>
        <w:rPr>
          <w:rFonts w:ascii="仿宋" w:eastAsia="仿宋" w:hAnsi="仿宋" w:cs="宋体"/>
          <w:sz w:val="28"/>
          <w:szCs w:val="28"/>
        </w:rPr>
      </w:pPr>
      <w:r w:rsidRPr="00BB15CF">
        <w:rPr>
          <w:rFonts w:ascii="仿宋" w:eastAsia="仿宋" w:hAnsi="仿宋" w:cs="宋体" w:hint="eastAsia"/>
          <w:b/>
          <w:sz w:val="28"/>
          <w:szCs w:val="28"/>
        </w:rPr>
        <w:t>可获学位：通过双方毕业论文答辩、达到双方毕业要求，即可获得两校学位</w:t>
      </w:r>
    </w:p>
    <w:p w:rsidR="009E3A3E" w:rsidRPr="00BB15CF" w:rsidRDefault="009E3A3E" w:rsidP="00717100">
      <w:pPr>
        <w:pStyle w:val="a6"/>
        <w:shd w:val="clear" w:color="auto" w:fill="FFFFFF"/>
        <w:spacing w:before="0" w:beforeAutospacing="0" w:after="0" w:afterAutospacing="0" w:line="440" w:lineRule="exact"/>
        <w:ind w:left="360" w:firstLineChars="200" w:firstLine="560"/>
        <w:rPr>
          <w:rFonts w:ascii="仿宋" w:eastAsia="仿宋" w:hAnsi="仿宋"/>
          <w:sz w:val="28"/>
          <w:szCs w:val="28"/>
        </w:rPr>
      </w:pPr>
      <w:r w:rsidRPr="00BB15CF">
        <w:rPr>
          <w:rFonts w:ascii="仿宋" w:eastAsia="仿宋" w:hAnsi="仿宋" w:hint="eastAsia"/>
          <w:sz w:val="28"/>
          <w:szCs w:val="28"/>
        </w:rPr>
        <w:t>俄罗斯南乌拉尔国立大学（South Ural State University, SUSU）建于1943年，是</w:t>
      </w:r>
      <w:hyperlink r:id="rId6" w:tgtFrame="_blank" w:history="1">
        <w:r w:rsidRPr="00BB15CF">
          <w:rPr>
            <w:rFonts w:ascii="仿宋" w:eastAsia="仿宋" w:hAnsi="仿宋" w:hint="eastAsia"/>
            <w:sz w:val="28"/>
            <w:szCs w:val="28"/>
          </w:rPr>
          <w:t>俄罗斯联邦</w:t>
        </w:r>
      </w:hyperlink>
      <w:r w:rsidRPr="00BB15CF">
        <w:rPr>
          <w:rFonts w:ascii="仿宋" w:eastAsia="仿宋" w:hAnsi="仿宋" w:hint="eastAsia"/>
          <w:sz w:val="28"/>
          <w:szCs w:val="28"/>
        </w:rPr>
        <w:t>综合类高校之一，是</w:t>
      </w:r>
      <w:hyperlink r:id="rId7" w:tgtFrame="_blank" w:history="1">
        <w:r w:rsidRPr="00BB15CF">
          <w:rPr>
            <w:rFonts w:ascii="仿宋" w:eastAsia="仿宋" w:hAnsi="仿宋" w:hint="eastAsia"/>
            <w:sz w:val="28"/>
            <w:szCs w:val="28"/>
          </w:rPr>
          <w:t>车里雅宾斯克</w:t>
        </w:r>
      </w:hyperlink>
      <w:r w:rsidRPr="00BB15CF">
        <w:rPr>
          <w:rFonts w:ascii="仿宋" w:eastAsia="仿宋" w:hAnsi="仿宋" w:hint="eastAsia"/>
          <w:sz w:val="28"/>
          <w:szCs w:val="28"/>
        </w:rPr>
        <w:t>地区的教育、科学、文化及体育生活的中心。南乌拉尔国立大学被俄罗斯联邦教育科学部评定为俄罗斯最受欢迎的十所高校之一。综合实力排名位居俄罗斯高校中前十。南乌拉尔大学的超算中心是俄罗斯第二大超算中心，并和企业界有密切合作。</w:t>
      </w:r>
    </w:p>
    <w:p w:rsidR="009E3A3E" w:rsidRPr="00BB15CF" w:rsidRDefault="009E3A3E" w:rsidP="00717100">
      <w:pPr>
        <w:pStyle w:val="a6"/>
        <w:shd w:val="clear" w:color="auto" w:fill="FFFFFF"/>
        <w:spacing w:before="0" w:beforeAutospacing="0" w:after="0" w:afterAutospacing="0" w:line="440" w:lineRule="exact"/>
        <w:ind w:left="360" w:firstLineChars="200" w:firstLine="560"/>
        <w:rPr>
          <w:rFonts w:ascii="仿宋" w:eastAsia="仿宋" w:hAnsi="仿宋"/>
          <w:sz w:val="28"/>
          <w:szCs w:val="28"/>
        </w:rPr>
      </w:pPr>
      <w:r w:rsidRPr="00BB15CF">
        <w:rPr>
          <w:rFonts w:ascii="仿宋" w:eastAsia="仿宋" w:hAnsi="仿宋" w:hint="eastAsia"/>
          <w:sz w:val="28"/>
          <w:szCs w:val="28"/>
        </w:rPr>
        <w:t>参考</w:t>
      </w:r>
      <w:r w:rsidRPr="00BB15CF">
        <w:rPr>
          <w:rFonts w:ascii="仿宋" w:eastAsia="仿宋" w:hAnsi="仿宋"/>
          <w:sz w:val="28"/>
          <w:szCs w:val="28"/>
        </w:rPr>
        <w:t>课程（</w:t>
      </w:r>
      <w:r w:rsidRPr="00BB15CF">
        <w:rPr>
          <w:rFonts w:ascii="仿宋" w:eastAsia="仿宋" w:hAnsi="仿宋" w:hint="eastAsia"/>
          <w:sz w:val="28"/>
          <w:szCs w:val="28"/>
        </w:rPr>
        <w:t>仅供</w:t>
      </w:r>
      <w:r w:rsidRPr="00BB15CF">
        <w:rPr>
          <w:rFonts w:ascii="仿宋" w:eastAsia="仿宋" w:hAnsi="仿宋"/>
          <w:sz w:val="28"/>
          <w:szCs w:val="28"/>
        </w:rPr>
        <w:t>参考，</w:t>
      </w:r>
      <w:r w:rsidRPr="00BB15CF">
        <w:rPr>
          <w:rFonts w:ascii="仿宋" w:eastAsia="仿宋" w:hAnsi="仿宋" w:hint="eastAsia"/>
          <w:sz w:val="28"/>
          <w:szCs w:val="28"/>
        </w:rPr>
        <w:t>具体</w:t>
      </w:r>
      <w:r w:rsidRPr="00BB15CF">
        <w:rPr>
          <w:rFonts w:ascii="仿宋" w:eastAsia="仿宋" w:hAnsi="仿宋"/>
          <w:sz w:val="28"/>
          <w:szCs w:val="28"/>
        </w:rPr>
        <w:t>需</w:t>
      </w:r>
      <w:r w:rsidRPr="00BB15CF">
        <w:rPr>
          <w:rFonts w:ascii="仿宋" w:eastAsia="仿宋" w:hAnsi="仿宋" w:hint="eastAsia"/>
          <w:sz w:val="28"/>
          <w:szCs w:val="28"/>
        </w:rPr>
        <w:t>与</w:t>
      </w:r>
      <w:r w:rsidRPr="00BB15CF">
        <w:rPr>
          <w:rFonts w:ascii="仿宋" w:eastAsia="仿宋" w:hAnsi="仿宋"/>
          <w:sz w:val="28"/>
          <w:szCs w:val="28"/>
        </w:rPr>
        <w:t>该校联系后确定）</w:t>
      </w:r>
      <w:r w:rsidRPr="00BB15CF">
        <w:rPr>
          <w:rFonts w:ascii="仿宋" w:eastAsia="仿宋" w:hAnsi="仿宋" w:hint="eastAsia"/>
          <w:sz w:val="28"/>
          <w:szCs w:val="28"/>
        </w:rPr>
        <w:t>：</w:t>
      </w:r>
    </w:p>
    <w:tbl>
      <w:tblPr>
        <w:tblStyle w:val="a7"/>
        <w:tblW w:w="7287" w:type="dxa"/>
        <w:tblInd w:w="508" w:type="dxa"/>
        <w:tblLayout w:type="fixed"/>
        <w:tblLook w:val="04A0" w:firstRow="1" w:lastRow="0" w:firstColumn="1" w:lastColumn="0" w:noHBand="0" w:noVBand="1"/>
      </w:tblPr>
      <w:tblGrid>
        <w:gridCol w:w="4452"/>
        <w:gridCol w:w="850"/>
        <w:gridCol w:w="992"/>
        <w:gridCol w:w="993"/>
      </w:tblGrid>
      <w:tr w:rsidR="009E3A3E" w:rsidRPr="00BB15CF" w:rsidTr="004A0611">
        <w:tc>
          <w:tcPr>
            <w:tcW w:w="445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Courses</w:t>
            </w:r>
          </w:p>
        </w:tc>
        <w:tc>
          <w:tcPr>
            <w:tcW w:w="184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E3A3E" w:rsidRPr="00717100" w:rsidRDefault="009E3A3E" w:rsidP="00717100">
            <w:pPr>
              <w:spacing w:line="440" w:lineRule="exact"/>
              <w:jc w:val="center"/>
              <w:rPr>
                <w:rFonts w:ascii="Times New Roman" w:eastAsiaTheme="minorHAnsi" w:hAnsi="Times New Roman" w:cs="Times New Roman"/>
                <w:lang w:val="ru-RU" w:eastAsia="en-US"/>
              </w:rPr>
            </w:pPr>
            <w:r w:rsidRPr="00717100">
              <w:rPr>
                <w:rFonts w:ascii="Times New Roman" w:hAnsi="Times New Roman" w:cs="Times New Roman"/>
              </w:rPr>
              <w:t>Credits</w:t>
            </w:r>
          </w:p>
        </w:tc>
        <w:tc>
          <w:tcPr>
            <w:tcW w:w="99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E3A3E" w:rsidRPr="00717100" w:rsidRDefault="009E3A3E" w:rsidP="00717100">
            <w:pPr>
              <w:spacing w:before="120" w:after="120" w:line="440" w:lineRule="exact"/>
              <w:jc w:val="center"/>
              <w:rPr>
                <w:rFonts w:ascii="Times New Roman" w:eastAsiaTheme="minorHAnsi" w:hAnsi="Times New Roman" w:cs="Times New Roman"/>
                <w:lang w:eastAsia="en-US"/>
              </w:rPr>
            </w:pPr>
            <w:r w:rsidRPr="00717100">
              <w:rPr>
                <w:rFonts w:ascii="Times New Roman" w:hAnsi="Times New Roman" w:cs="Times New Roman"/>
              </w:rPr>
              <w:t>Academic hours</w:t>
            </w:r>
          </w:p>
        </w:tc>
      </w:tr>
      <w:tr w:rsidR="009E3A3E" w:rsidRPr="00BB15CF" w:rsidTr="004A0611">
        <w:tc>
          <w:tcPr>
            <w:tcW w:w="4452" w:type="dxa"/>
            <w:vMerge/>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rPr>
                <w:rFonts w:ascii="Times New Roman" w:eastAsiaTheme="minorHAnsi"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Chinese</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Russian</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rPr>
                <w:rFonts w:ascii="Times New Roman" w:eastAsiaTheme="minorHAnsi" w:hAnsi="Times New Roman" w:cs="Times New Roman"/>
                <w:lang w:eastAsia="en-US"/>
              </w:rPr>
            </w:pPr>
          </w:p>
        </w:tc>
      </w:tr>
      <w:tr w:rsidR="009E3A3E" w:rsidRPr="00BB15CF" w:rsidTr="004A0611">
        <w:tc>
          <w:tcPr>
            <w:tcW w:w="44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E3A3E" w:rsidRPr="00717100" w:rsidRDefault="009E3A3E" w:rsidP="00717100">
            <w:pPr>
              <w:spacing w:line="440" w:lineRule="exact"/>
              <w:rPr>
                <w:rFonts w:ascii="Times New Roman" w:eastAsiaTheme="minorHAnsi" w:hAnsi="Times New Roman" w:cs="Times New Roman"/>
                <w:b/>
                <w:lang w:eastAsia="en-US"/>
              </w:rPr>
            </w:pPr>
            <w:r w:rsidRPr="00717100">
              <w:rPr>
                <w:rFonts w:ascii="Times New Roman" w:hAnsi="Times New Roman" w:cs="Times New Roman"/>
                <w:b/>
              </w:rPr>
              <w:t>Course at SUSU</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E3A3E" w:rsidRPr="00717100" w:rsidRDefault="009E3A3E" w:rsidP="00717100">
            <w:pPr>
              <w:spacing w:line="440" w:lineRule="exact"/>
              <w:jc w:val="center"/>
              <w:rPr>
                <w:rFonts w:ascii="Times New Roman" w:eastAsiaTheme="minorHAnsi" w:hAnsi="Times New Roman" w:cs="Times New Roman"/>
                <w:b/>
                <w:lang w:eastAsia="en-US"/>
              </w:rPr>
            </w:pPr>
            <w:r w:rsidRPr="00717100">
              <w:rPr>
                <w:rFonts w:ascii="Times New Roman" w:hAnsi="Times New Roman" w:cs="Times New Roman"/>
                <w:b/>
              </w:rPr>
              <w:t>30</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E3A3E" w:rsidRPr="00717100" w:rsidRDefault="009E3A3E" w:rsidP="00717100">
            <w:pPr>
              <w:spacing w:line="440" w:lineRule="exact"/>
              <w:jc w:val="center"/>
              <w:rPr>
                <w:rFonts w:ascii="Times New Roman" w:eastAsiaTheme="minorHAnsi" w:hAnsi="Times New Roman" w:cs="Times New Roman"/>
                <w:b/>
                <w:lang w:eastAsia="en-US"/>
              </w:rPr>
            </w:pPr>
            <w:r w:rsidRPr="00717100">
              <w:rPr>
                <w:rFonts w:ascii="Times New Roman" w:hAnsi="Times New Roman" w:cs="Times New Roman"/>
                <w:b/>
              </w:rPr>
              <w:t>60</w:t>
            </w:r>
          </w:p>
        </w:tc>
        <w:tc>
          <w:tcPr>
            <w:tcW w:w="9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E3A3E" w:rsidRPr="00717100" w:rsidRDefault="009E3A3E" w:rsidP="00717100">
            <w:pPr>
              <w:spacing w:before="120" w:after="120" w:line="440" w:lineRule="exact"/>
              <w:jc w:val="center"/>
              <w:rPr>
                <w:rFonts w:ascii="Times New Roman" w:eastAsiaTheme="minorHAnsi" w:hAnsi="Times New Roman" w:cs="Times New Roman"/>
                <w:b/>
                <w:lang w:eastAsia="en-US"/>
              </w:rPr>
            </w:pPr>
            <w:r w:rsidRPr="00717100">
              <w:rPr>
                <w:rFonts w:ascii="Times New Roman" w:hAnsi="Times New Roman" w:cs="Times New Roman"/>
                <w:b/>
              </w:rPr>
              <w:t>640</w:t>
            </w:r>
          </w:p>
        </w:tc>
      </w:tr>
      <w:tr w:rsidR="009E3A3E" w:rsidRPr="00BB15CF" w:rsidTr="004A0611">
        <w:tc>
          <w:tcPr>
            <w:tcW w:w="445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rPr>
                <w:rFonts w:ascii="Times New Roman" w:eastAsiaTheme="minorHAnsi" w:hAnsi="Times New Roman" w:cs="Times New Roman"/>
                <w:lang w:eastAsia="en-US"/>
              </w:rPr>
            </w:pPr>
            <w:r w:rsidRPr="00717100">
              <w:rPr>
                <w:rFonts w:ascii="Times New Roman" w:hAnsi="Times New Roman" w:cs="Times New Roman"/>
              </w:rPr>
              <w:t>Process Control Systems</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before="120" w:after="120" w:line="440" w:lineRule="exact"/>
              <w:jc w:val="center"/>
              <w:rPr>
                <w:rFonts w:ascii="Times New Roman" w:eastAsiaTheme="minorHAnsi" w:hAnsi="Times New Roman" w:cs="Times New Roman"/>
                <w:lang w:val="ru-RU" w:eastAsia="en-US"/>
              </w:rPr>
            </w:pPr>
            <w:r w:rsidRPr="00717100">
              <w:rPr>
                <w:rFonts w:ascii="Times New Roman" w:hAnsi="Times New Roman" w:cs="Times New Roman"/>
              </w:rPr>
              <w:t>128</w:t>
            </w:r>
          </w:p>
        </w:tc>
      </w:tr>
      <w:tr w:rsidR="009E3A3E" w:rsidRPr="00BB15CF" w:rsidTr="004A0611">
        <w:tc>
          <w:tcPr>
            <w:tcW w:w="445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rPr>
                <w:rFonts w:ascii="Times New Roman" w:eastAsiaTheme="minorHAnsi" w:hAnsi="Times New Roman" w:cs="Times New Roman"/>
                <w:lang w:eastAsia="en-US"/>
              </w:rPr>
            </w:pPr>
            <w:r w:rsidRPr="00717100">
              <w:rPr>
                <w:rFonts w:ascii="Times New Roman" w:hAnsi="Times New Roman" w:cs="Times New Roman"/>
              </w:rPr>
              <w:t>Software and Hardware of Automated Systems</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val="ru-RU" w:eastAsia="en-US"/>
              </w:rPr>
            </w:pPr>
            <w:r w:rsidRPr="00717100">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before="120" w:after="120" w:line="440" w:lineRule="exact"/>
              <w:jc w:val="center"/>
              <w:rPr>
                <w:rFonts w:ascii="Times New Roman" w:eastAsiaTheme="minorHAnsi" w:hAnsi="Times New Roman" w:cs="Times New Roman"/>
                <w:lang w:val="ru-RU" w:eastAsia="en-US"/>
              </w:rPr>
            </w:pPr>
            <w:r w:rsidRPr="00717100">
              <w:rPr>
                <w:rFonts w:ascii="Times New Roman" w:hAnsi="Times New Roman" w:cs="Times New Roman"/>
              </w:rPr>
              <w:t>128</w:t>
            </w:r>
          </w:p>
        </w:tc>
      </w:tr>
      <w:tr w:rsidR="009E3A3E" w:rsidRPr="00BB15CF" w:rsidTr="004A0611">
        <w:tc>
          <w:tcPr>
            <w:tcW w:w="445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rPr>
                <w:rFonts w:ascii="Times New Roman" w:eastAsiaTheme="minorHAnsi" w:hAnsi="Times New Roman" w:cs="Times New Roman"/>
                <w:lang w:eastAsia="en-US"/>
              </w:rPr>
            </w:pPr>
            <w:r w:rsidRPr="00717100">
              <w:rPr>
                <w:rFonts w:ascii="Times New Roman" w:hAnsi="Times New Roman" w:cs="Times New Roman"/>
              </w:rPr>
              <w:t>Up-to-date Control</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before="120" w:after="120" w:line="440" w:lineRule="exact"/>
              <w:jc w:val="center"/>
              <w:rPr>
                <w:rFonts w:ascii="Times New Roman" w:eastAsiaTheme="minorHAnsi" w:hAnsi="Times New Roman" w:cs="Times New Roman"/>
                <w:lang w:eastAsia="en-US"/>
              </w:rPr>
            </w:pPr>
            <w:r w:rsidRPr="00717100">
              <w:rPr>
                <w:rFonts w:ascii="Times New Roman" w:hAnsi="Times New Roman" w:cs="Times New Roman"/>
              </w:rPr>
              <w:t>128</w:t>
            </w:r>
          </w:p>
        </w:tc>
      </w:tr>
      <w:tr w:rsidR="009E3A3E" w:rsidRPr="00BB15CF" w:rsidTr="004A0611">
        <w:tc>
          <w:tcPr>
            <w:tcW w:w="445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rPr>
                <w:rFonts w:ascii="Times New Roman" w:eastAsiaTheme="minorHAnsi" w:hAnsi="Times New Roman" w:cs="Times New Roman"/>
                <w:lang w:eastAsia="en-US"/>
              </w:rPr>
            </w:pPr>
            <w:r w:rsidRPr="00717100">
              <w:rPr>
                <w:rFonts w:ascii="Times New Roman" w:hAnsi="Times New Roman" w:cs="Times New Roman"/>
              </w:rPr>
              <w:t>Hardware Component Set</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before="120" w:after="120" w:line="440" w:lineRule="exact"/>
              <w:jc w:val="center"/>
              <w:rPr>
                <w:rFonts w:ascii="Times New Roman" w:eastAsiaTheme="minorHAnsi" w:hAnsi="Times New Roman" w:cs="Times New Roman"/>
                <w:lang w:eastAsia="en-US"/>
              </w:rPr>
            </w:pPr>
            <w:r w:rsidRPr="00717100">
              <w:rPr>
                <w:rFonts w:ascii="Times New Roman" w:hAnsi="Times New Roman" w:cs="Times New Roman"/>
              </w:rPr>
              <w:t>64</w:t>
            </w:r>
          </w:p>
        </w:tc>
      </w:tr>
      <w:tr w:rsidR="009E3A3E" w:rsidRPr="00BB15CF" w:rsidTr="004A0611">
        <w:tc>
          <w:tcPr>
            <w:tcW w:w="445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rPr>
                <w:rFonts w:ascii="Times New Roman" w:eastAsiaTheme="minorHAnsi" w:hAnsi="Times New Roman" w:cs="Times New Roman"/>
                <w:lang w:eastAsia="en-US"/>
              </w:rPr>
            </w:pPr>
            <w:r w:rsidRPr="00717100">
              <w:rPr>
                <w:rFonts w:ascii="Times New Roman" w:hAnsi="Times New Roman" w:cs="Times New Roman"/>
              </w:rPr>
              <w:lastRenderedPageBreak/>
              <w:t>Foreign Language (Russian Language for Chinese students; English Language for Russian students)</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val="ru-RU" w:eastAsia="en-US"/>
              </w:rPr>
            </w:pPr>
            <w:r w:rsidRPr="00717100">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before="120" w:after="120" w:line="440" w:lineRule="exact"/>
              <w:jc w:val="center"/>
              <w:rPr>
                <w:rFonts w:ascii="Times New Roman" w:eastAsiaTheme="minorHAnsi" w:hAnsi="Times New Roman" w:cs="Times New Roman"/>
                <w:lang w:val="ru-RU" w:eastAsia="en-US"/>
              </w:rPr>
            </w:pPr>
            <w:r w:rsidRPr="00717100">
              <w:rPr>
                <w:rFonts w:ascii="Times New Roman" w:hAnsi="Times New Roman" w:cs="Times New Roman"/>
              </w:rPr>
              <w:t>128</w:t>
            </w:r>
          </w:p>
        </w:tc>
      </w:tr>
      <w:tr w:rsidR="009E3A3E" w:rsidRPr="00BB15CF" w:rsidTr="004A0611">
        <w:tc>
          <w:tcPr>
            <w:tcW w:w="445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rPr>
                <w:rFonts w:ascii="Times New Roman" w:eastAsiaTheme="minorHAnsi" w:hAnsi="Times New Roman" w:cs="Times New Roman"/>
                <w:lang w:eastAsia="en-US"/>
              </w:rPr>
            </w:pPr>
            <w:r w:rsidRPr="00717100">
              <w:rPr>
                <w:rFonts w:ascii="Times New Roman" w:hAnsi="Times New Roman" w:cs="Times New Roman"/>
              </w:rPr>
              <w:t>Project Management</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val="ru-RU" w:eastAsia="en-US"/>
              </w:rPr>
            </w:pPr>
            <w:r w:rsidRPr="00717100">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before="120" w:after="120" w:line="440" w:lineRule="exact"/>
              <w:jc w:val="center"/>
              <w:rPr>
                <w:rFonts w:ascii="Times New Roman" w:eastAsiaTheme="minorHAnsi" w:hAnsi="Times New Roman" w:cs="Times New Roman"/>
                <w:lang w:val="ru-RU" w:eastAsia="en-US"/>
              </w:rPr>
            </w:pPr>
            <w:r w:rsidRPr="00717100">
              <w:rPr>
                <w:rFonts w:ascii="Times New Roman" w:hAnsi="Times New Roman" w:cs="Times New Roman"/>
              </w:rPr>
              <w:t>64</w:t>
            </w:r>
          </w:p>
        </w:tc>
      </w:tr>
      <w:tr w:rsidR="009E3A3E" w:rsidRPr="00BB15CF" w:rsidTr="004A0611">
        <w:tc>
          <w:tcPr>
            <w:tcW w:w="445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rPr>
                <w:rFonts w:ascii="Times New Roman" w:eastAsiaTheme="minorHAnsi" w:hAnsi="Times New Roman" w:cs="Times New Roman"/>
                <w:lang w:val="ru-RU" w:eastAsia="en-US"/>
              </w:rPr>
            </w:pPr>
            <w:r w:rsidRPr="00717100">
              <w:rPr>
                <w:rFonts w:ascii="Times New Roman" w:hAnsi="Times New Roman" w:cs="Times New Roman"/>
              </w:rPr>
              <w:t>Research work</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before="120" w:after="120" w:line="440" w:lineRule="exact"/>
              <w:jc w:val="center"/>
              <w:rPr>
                <w:rFonts w:ascii="Times New Roman" w:eastAsiaTheme="minorHAnsi" w:hAnsi="Times New Roman" w:cs="Times New Roman"/>
                <w:lang w:eastAsia="en-US"/>
              </w:rPr>
            </w:pPr>
            <w:r w:rsidRPr="00717100">
              <w:rPr>
                <w:rFonts w:ascii="Times New Roman" w:hAnsi="Times New Roman" w:cs="Times New Roman"/>
              </w:rPr>
              <w:t>-</w:t>
            </w:r>
          </w:p>
        </w:tc>
      </w:tr>
      <w:tr w:rsidR="009E3A3E" w:rsidRPr="00BB15CF" w:rsidTr="004A0611">
        <w:tc>
          <w:tcPr>
            <w:tcW w:w="445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rPr>
                <w:rFonts w:ascii="Times New Roman" w:eastAsiaTheme="minorHAnsi" w:hAnsi="Times New Roman" w:cs="Times New Roman"/>
                <w:lang w:eastAsia="en-US"/>
              </w:rPr>
            </w:pPr>
            <w:r w:rsidRPr="00717100">
              <w:rPr>
                <w:rFonts w:ascii="Times New Roman" w:hAnsi="Times New Roman" w:cs="Times New Roman"/>
              </w:rPr>
              <w:t>Research and work on Master Thesis</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line="440" w:lineRule="exact"/>
              <w:jc w:val="center"/>
              <w:rPr>
                <w:rFonts w:ascii="Times New Roman" w:eastAsiaTheme="minorHAnsi" w:hAnsi="Times New Roman" w:cs="Times New Roman"/>
                <w:lang w:eastAsia="en-US"/>
              </w:rPr>
            </w:pPr>
            <w:r w:rsidRPr="00717100">
              <w:rPr>
                <w:rFonts w:ascii="Times New Roman" w:hAnsi="Times New Roman" w:cs="Times New Roman"/>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9E3A3E" w:rsidRPr="00717100" w:rsidRDefault="009E3A3E" w:rsidP="00717100">
            <w:pPr>
              <w:spacing w:before="120" w:after="120" w:line="440" w:lineRule="exact"/>
              <w:jc w:val="center"/>
              <w:rPr>
                <w:rFonts w:ascii="Times New Roman" w:eastAsiaTheme="minorHAnsi" w:hAnsi="Times New Roman" w:cs="Times New Roman"/>
                <w:lang w:eastAsia="en-US"/>
              </w:rPr>
            </w:pPr>
            <w:r w:rsidRPr="00717100">
              <w:rPr>
                <w:rFonts w:ascii="Times New Roman" w:hAnsi="Times New Roman" w:cs="Times New Roman"/>
              </w:rPr>
              <w:t>-</w:t>
            </w:r>
          </w:p>
        </w:tc>
      </w:tr>
    </w:tbl>
    <w:p w:rsidR="009E3A3E" w:rsidRPr="00BB15CF" w:rsidRDefault="009E3A3E" w:rsidP="00717100">
      <w:pPr>
        <w:spacing w:after="75" w:line="440" w:lineRule="exact"/>
        <w:rPr>
          <w:rFonts w:ascii="仿宋" w:eastAsia="仿宋" w:hAnsi="仿宋" w:cs="宋体"/>
          <w:sz w:val="28"/>
          <w:szCs w:val="28"/>
        </w:rPr>
      </w:pPr>
    </w:p>
    <w:p w:rsidR="009E3A3E" w:rsidRPr="00BB15CF" w:rsidRDefault="009E3A3E" w:rsidP="00717100">
      <w:pPr>
        <w:spacing w:after="75" w:line="440" w:lineRule="exact"/>
        <w:rPr>
          <w:rFonts w:ascii="仿宋" w:eastAsia="仿宋" w:hAnsi="仿宋" w:cs="宋体"/>
          <w:sz w:val="28"/>
          <w:szCs w:val="28"/>
        </w:rPr>
      </w:pPr>
    </w:p>
    <w:p w:rsidR="009E3A3E" w:rsidRPr="00BB15CF" w:rsidRDefault="00717100" w:rsidP="00717100">
      <w:pPr>
        <w:spacing w:after="75" w:line="440" w:lineRule="exact"/>
        <w:rPr>
          <w:rFonts w:ascii="仿宋" w:eastAsia="仿宋" w:hAnsi="仿宋" w:cs="宋体"/>
          <w:sz w:val="28"/>
          <w:szCs w:val="28"/>
        </w:rPr>
      </w:pPr>
      <w:r>
        <w:rPr>
          <w:rFonts w:ascii="仿宋" w:eastAsia="仿宋" w:hAnsi="仿宋" w:cs="宋体" w:hint="eastAsia"/>
          <w:b/>
          <w:sz w:val="28"/>
          <w:szCs w:val="28"/>
        </w:rPr>
        <w:t>二</w:t>
      </w:r>
      <w:r>
        <w:rPr>
          <w:rFonts w:ascii="仿宋" w:eastAsia="仿宋" w:hAnsi="仿宋" w:cs="宋体"/>
          <w:b/>
          <w:sz w:val="28"/>
          <w:szCs w:val="28"/>
        </w:rPr>
        <w:t>、</w:t>
      </w:r>
      <w:r w:rsidR="009E3A3E" w:rsidRPr="00BB15CF">
        <w:rPr>
          <w:rFonts w:ascii="仿宋" w:eastAsia="仿宋" w:hAnsi="仿宋" w:cs="宋体" w:hint="eastAsia"/>
          <w:b/>
          <w:sz w:val="28"/>
          <w:szCs w:val="28"/>
        </w:rPr>
        <w:t>俄罗斯</w:t>
      </w:r>
      <w:r w:rsidR="009E3A3E" w:rsidRPr="00BB15CF">
        <w:rPr>
          <w:rFonts w:ascii="仿宋" w:eastAsia="仿宋" w:hAnsi="仿宋" w:cs="宋体"/>
          <w:b/>
          <w:sz w:val="28"/>
          <w:szCs w:val="28"/>
        </w:rPr>
        <w:t>乌拉尔联邦大学（Ural Federal University）</w:t>
      </w:r>
    </w:p>
    <w:p w:rsidR="009E3A3E" w:rsidRPr="00BB15CF" w:rsidRDefault="009E3A3E" w:rsidP="00717100">
      <w:pPr>
        <w:pStyle w:val="a5"/>
        <w:spacing w:after="75" w:line="440" w:lineRule="exact"/>
        <w:ind w:left="360"/>
        <w:rPr>
          <w:rFonts w:ascii="仿宋" w:eastAsia="仿宋" w:hAnsi="仿宋" w:cs="宋体"/>
          <w:b/>
          <w:sz w:val="28"/>
          <w:szCs w:val="28"/>
        </w:rPr>
      </w:pPr>
      <w:r w:rsidRPr="00BB15CF">
        <w:rPr>
          <w:rFonts w:ascii="仿宋" w:eastAsia="仿宋" w:hAnsi="仿宋" w:cs="宋体" w:hint="eastAsia"/>
          <w:b/>
          <w:sz w:val="28"/>
          <w:szCs w:val="28"/>
        </w:rPr>
        <w:t>合作方向：经济学</w:t>
      </w:r>
      <w:r w:rsidRPr="00BB15CF">
        <w:rPr>
          <w:rFonts w:ascii="仿宋" w:eastAsia="仿宋" w:hAnsi="仿宋" w:cs="宋体"/>
          <w:b/>
          <w:sz w:val="28"/>
          <w:szCs w:val="28"/>
        </w:rPr>
        <w:t xml:space="preserve"> </w:t>
      </w:r>
    </w:p>
    <w:p w:rsidR="009E3A3E" w:rsidRPr="00BB15CF" w:rsidRDefault="009E3A3E" w:rsidP="00717100">
      <w:pPr>
        <w:pStyle w:val="a5"/>
        <w:spacing w:after="75" w:line="440" w:lineRule="exact"/>
        <w:ind w:left="360"/>
        <w:rPr>
          <w:rFonts w:ascii="仿宋" w:eastAsia="仿宋" w:hAnsi="仿宋" w:cs="宋体"/>
          <w:b/>
          <w:sz w:val="28"/>
          <w:szCs w:val="28"/>
        </w:rPr>
      </w:pPr>
      <w:r w:rsidRPr="00BB15CF">
        <w:rPr>
          <w:rFonts w:ascii="仿宋" w:eastAsia="仿宋" w:hAnsi="仿宋" w:cs="宋体"/>
          <w:b/>
          <w:sz w:val="28"/>
          <w:szCs w:val="28"/>
        </w:rPr>
        <w:t>可申请专业</w:t>
      </w:r>
      <w:r w:rsidRPr="00BB15CF">
        <w:rPr>
          <w:rFonts w:ascii="仿宋" w:eastAsia="仿宋" w:hAnsi="仿宋" w:cs="宋体" w:hint="eastAsia"/>
          <w:b/>
          <w:sz w:val="28"/>
          <w:szCs w:val="28"/>
        </w:rPr>
        <w:t>：Global Energy Business</w:t>
      </w:r>
      <w:r w:rsidRPr="00BB15CF">
        <w:rPr>
          <w:rFonts w:ascii="仿宋" w:eastAsia="仿宋" w:hAnsi="仿宋" w:cs="宋体"/>
          <w:b/>
          <w:sz w:val="28"/>
          <w:szCs w:val="28"/>
        </w:rPr>
        <w:t xml:space="preserve">    </w:t>
      </w:r>
    </w:p>
    <w:p w:rsidR="009E3A3E" w:rsidRPr="00BB15CF" w:rsidRDefault="009E3A3E" w:rsidP="00717100">
      <w:pPr>
        <w:pStyle w:val="a5"/>
        <w:spacing w:after="75" w:line="440" w:lineRule="exact"/>
        <w:ind w:left="360"/>
        <w:rPr>
          <w:rFonts w:ascii="仿宋" w:eastAsia="仿宋" w:hAnsi="仿宋" w:cs="宋体"/>
          <w:b/>
          <w:sz w:val="28"/>
          <w:szCs w:val="28"/>
        </w:rPr>
      </w:pPr>
      <w:r w:rsidRPr="00BB15CF">
        <w:rPr>
          <w:rFonts w:ascii="仿宋" w:eastAsia="仿宋" w:hAnsi="仿宋" w:cs="宋体" w:hint="eastAsia"/>
          <w:b/>
          <w:sz w:val="28"/>
          <w:szCs w:val="28"/>
        </w:rPr>
        <w:t>授课语言：英语</w:t>
      </w:r>
    </w:p>
    <w:p w:rsidR="009E3A3E" w:rsidRPr="00BB15CF" w:rsidRDefault="009E3A3E" w:rsidP="00717100">
      <w:pPr>
        <w:pStyle w:val="a5"/>
        <w:spacing w:after="75" w:line="440" w:lineRule="exact"/>
        <w:ind w:left="360" w:firstLineChars="200" w:firstLine="560"/>
        <w:contextualSpacing w:val="0"/>
        <w:rPr>
          <w:rFonts w:ascii="仿宋" w:eastAsia="仿宋" w:hAnsi="仿宋" w:cs="宋体"/>
          <w:sz w:val="28"/>
          <w:szCs w:val="28"/>
        </w:rPr>
      </w:pPr>
      <w:r w:rsidRPr="00BB15CF">
        <w:rPr>
          <w:rFonts w:ascii="仿宋" w:eastAsia="仿宋" w:hAnsi="仿宋" w:cs="宋体" w:hint="eastAsia"/>
          <w:sz w:val="28"/>
          <w:szCs w:val="28"/>
        </w:rPr>
        <w:t>学校</w:t>
      </w:r>
      <w:r w:rsidRPr="00BB15CF">
        <w:rPr>
          <w:rFonts w:ascii="仿宋" w:eastAsia="仿宋" w:hAnsi="仿宋" w:cs="宋体"/>
          <w:sz w:val="28"/>
          <w:szCs w:val="28"/>
        </w:rPr>
        <w:t>位于俄罗斯第三大城市叶卡捷琳堡，于2010年4月在乌拉尔国立技术大学和乌拉尔国立高尔基大学的基础上成立。该校为俄罗斯“5-100”工程入选高校之一，目前有来自全球80余个国家的全日制在校学生30000余名，教师2000余名。学校下设冶金、化学工程、建筑、电子、物理、信息技术、无线电、热能、经济、人文等17个院系，共培养了逾30万名校友，为乌拉尔地区的冶金、化工、机械制造、建筑、信息技术、无线电等领域的发展作出了巨大贡献。俄罗斯首任总统叶利钦于1955年毕业于该校。</w:t>
      </w:r>
    </w:p>
    <w:p w:rsidR="009E3A3E" w:rsidRPr="00BB15CF" w:rsidRDefault="009E3A3E" w:rsidP="00717100">
      <w:pPr>
        <w:spacing w:after="75" w:line="440" w:lineRule="exact"/>
        <w:ind w:firstLineChars="200" w:firstLine="560"/>
        <w:rPr>
          <w:rFonts w:ascii="仿宋" w:eastAsia="仿宋" w:hAnsi="仿宋" w:cs="宋体"/>
          <w:sz w:val="28"/>
          <w:szCs w:val="28"/>
        </w:rPr>
      </w:pPr>
      <w:r w:rsidRPr="00BB15CF">
        <w:rPr>
          <w:rFonts w:ascii="仿宋" w:eastAsia="仿宋" w:hAnsi="仿宋" w:cs="宋体" w:hint="eastAsia"/>
          <w:sz w:val="28"/>
          <w:szCs w:val="28"/>
        </w:rPr>
        <w:t>参考课程（仅供</w:t>
      </w:r>
      <w:r w:rsidRPr="00BB15CF">
        <w:rPr>
          <w:rFonts w:ascii="仿宋" w:eastAsia="仿宋" w:hAnsi="仿宋" w:cs="宋体"/>
          <w:sz w:val="28"/>
          <w:szCs w:val="28"/>
        </w:rPr>
        <w:t>参考，</w:t>
      </w:r>
      <w:r w:rsidRPr="00BB15CF">
        <w:rPr>
          <w:rFonts w:ascii="仿宋" w:eastAsia="仿宋" w:hAnsi="仿宋" w:cs="宋体" w:hint="eastAsia"/>
          <w:sz w:val="28"/>
          <w:szCs w:val="28"/>
        </w:rPr>
        <w:t>具体</w:t>
      </w:r>
      <w:r w:rsidRPr="00BB15CF">
        <w:rPr>
          <w:rFonts w:ascii="仿宋" w:eastAsia="仿宋" w:hAnsi="仿宋" w:cs="宋体"/>
          <w:sz w:val="28"/>
          <w:szCs w:val="28"/>
        </w:rPr>
        <w:t>需</w:t>
      </w:r>
      <w:r w:rsidRPr="00BB15CF">
        <w:rPr>
          <w:rFonts w:ascii="仿宋" w:eastAsia="仿宋" w:hAnsi="仿宋" w:cs="宋体" w:hint="eastAsia"/>
          <w:sz w:val="28"/>
          <w:szCs w:val="28"/>
        </w:rPr>
        <w:t>与</w:t>
      </w:r>
      <w:r w:rsidRPr="00BB15CF">
        <w:rPr>
          <w:rFonts w:ascii="仿宋" w:eastAsia="仿宋" w:hAnsi="仿宋" w:cs="宋体"/>
          <w:sz w:val="28"/>
          <w:szCs w:val="28"/>
        </w:rPr>
        <w:t>该校联系后确定</w:t>
      </w:r>
      <w:r w:rsidRPr="00BB15CF">
        <w:rPr>
          <w:rFonts w:ascii="仿宋" w:eastAsia="仿宋" w:hAnsi="仿宋" w:cs="宋体" w:hint="eastAsia"/>
          <w:sz w:val="28"/>
          <w:szCs w:val="28"/>
        </w:rPr>
        <w:t>）：</w:t>
      </w:r>
    </w:p>
    <w:tbl>
      <w:tblPr>
        <w:tblW w:w="7295" w:type="dxa"/>
        <w:tblInd w:w="675" w:type="dxa"/>
        <w:tblBorders>
          <w:top w:val="nil"/>
          <w:left w:val="nil"/>
          <w:bottom w:val="nil"/>
          <w:right w:val="nil"/>
        </w:tblBorders>
        <w:tblLayout w:type="fixed"/>
        <w:tblLook w:val="0000" w:firstRow="0" w:lastRow="0" w:firstColumn="0" w:lastColumn="0" w:noHBand="0" w:noVBand="0"/>
      </w:tblPr>
      <w:tblGrid>
        <w:gridCol w:w="801"/>
        <w:gridCol w:w="2603"/>
        <w:gridCol w:w="2603"/>
        <w:gridCol w:w="1288"/>
      </w:tblGrid>
      <w:tr w:rsidR="009E3A3E" w:rsidRPr="00717100" w:rsidTr="004A0611">
        <w:trPr>
          <w:trHeight w:val="112"/>
        </w:trPr>
        <w:tc>
          <w:tcPr>
            <w:tcW w:w="801"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hint="eastAsia"/>
                <w:color w:val="auto"/>
              </w:rPr>
              <w:t>1</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Asset Management of an Energy Company*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3 ECTS </w:t>
            </w:r>
          </w:p>
        </w:tc>
        <w:tc>
          <w:tcPr>
            <w:tcW w:w="1288"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Master </w:t>
            </w:r>
          </w:p>
        </w:tc>
      </w:tr>
      <w:tr w:rsidR="009E3A3E" w:rsidRPr="00717100" w:rsidTr="004A0611">
        <w:trPr>
          <w:trHeight w:val="112"/>
        </w:trPr>
        <w:tc>
          <w:tcPr>
            <w:tcW w:w="801"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hint="eastAsia"/>
                <w:color w:val="auto"/>
              </w:rPr>
              <w:t>2</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Energy Service Markets*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2 ECTS </w:t>
            </w:r>
          </w:p>
        </w:tc>
        <w:tc>
          <w:tcPr>
            <w:tcW w:w="1288"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Master </w:t>
            </w:r>
          </w:p>
        </w:tc>
      </w:tr>
      <w:tr w:rsidR="009E3A3E" w:rsidRPr="00717100" w:rsidTr="004A0611">
        <w:trPr>
          <w:trHeight w:val="112"/>
        </w:trPr>
        <w:tc>
          <w:tcPr>
            <w:tcW w:w="801"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3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Experts Interaction*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2 ECTS </w:t>
            </w:r>
          </w:p>
        </w:tc>
        <w:tc>
          <w:tcPr>
            <w:tcW w:w="1288"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Master </w:t>
            </w:r>
          </w:p>
        </w:tc>
      </w:tr>
      <w:tr w:rsidR="009E3A3E" w:rsidRPr="00717100" w:rsidTr="004A0611">
        <w:trPr>
          <w:trHeight w:val="112"/>
        </w:trPr>
        <w:tc>
          <w:tcPr>
            <w:tcW w:w="801"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hint="eastAsia"/>
                <w:color w:val="auto"/>
              </w:rPr>
              <w:t>4</w:t>
            </w:r>
            <w:r w:rsidRPr="00717100">
              <w:rPr>
                <w:rFonts w:ascii="仿宋" w:eastAsia="仿宋" w:hAnsi="仿宋" w:cs="宋体"/>
                <w:color w:val="auto"/>
              </w:rPr>
              <w:t xml:space="preserve">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Organizational and </w:t>
            </w:r>
            <w:r w:rsidRPr="00717100">
              <w:rPr>
                <w:rFonts w:ascii="仿宋" w:eastAsia="仿宋" w:hAnsi="仿宋" w:cs="宋体"/>
                <w:color w:val="auto"/>
              </w:rPr>
              <w:lastRenderedPageBreak/>
              <w:t xml:space="preserve">Activity Games*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lastRenderedPageBreak/>
              <w:t xml:space="preserve">2 ECTS </w:t>
            </w:r>
            <w:bookmarkStart w:id="0" w:name="_GoBack"/>
            <w:bookmarkEnd w:id="0"/>
          </w:p>
        </w:tc>
        <w:tc>
          <w:tcPr>
            <w:tcW w:w="1288"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Master </w:t>
            </w:r>
          </w:p>
        </w:tc>
      </w:tr>
      <w:tr w:rsidR="009E3A3E" w:rsidRPr="00717100" w:rsidTr="004A0611">
        <w:trPr>
          <w:trHeight w:val="112"/>
        </w:trPr>
        <w:tc>
          <w:tcPr>
            <w:tcW w:w="801"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hint="eastAsia"/>
                <w:color w:val="auto"/>
              </w:rPr>
              <w:lastRenderedPageBreak/>
              <w:t>5</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Global Trends in The World Economy*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2 ECTS </w:t>
            </w:r>
          </w:p>
        </w:tc>
        <w:tc>
          <w:tcPr>
            <w:tcW w:w="1288"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Master </w:t>
            </w:r>
          </w:p>
        </w:tc>
      </w:tr>
      <w:tr w:rsidR="009E3A3E" w:rsidRPr="00717100" w:rsidTr="004A0611">
        <w:trPr>
          <w:trHeight w:val="112"/>
        </w:trPr>
        <w:tc>
          <w:tcPr>
            <w:tcW w:w="801"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hint="eastAsia"/>
                <w:color w:val="auto"/>
              </w:rPr>
              <w:t>6</w:t>
            </w:r>
            <w:r w:rsidRPr="00717100">
              <w:rPr>
                <w:rFonts w:ascii="仿宋" w:eastAsia="仿宋" w:hAnsi="仿宋" w:cs="宋体"/>
                <w:color w:val="auto"/>
              </w:rPr>
              <w:t xml:space="preserve">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Cross-Cultural Communications in International Cooperation*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2 ECTS </w:t>
            </w:r>
          </w:p>
        </w:tc>
        <w:tc>
          <w:tcPr>
            <w:tcW w:w="1288"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Master </w:t>
            </w:r>
          </w:p>
        </w:tc>
      </w:tr>
      <w:tr w:rsidR="009E3A3E" w:rsidRPr="00717100" w:rsidTr="004A0611">
        <w:trPr>
          <w:trHeight w:val="112"/>
        </w:trPr>
        <w:tc>
          <w:tcPr>
            <w:tcW w:w="801"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hint="eastAsia"/>
                <w:color w:val="auto"/>
              </w:rPr>
              <w:t>7</w:t>
            </w:r>
            <w:r w:rsidRPr="00717100">
              <w:rPr>
                <w:rFonts w:ascii="仿宋" w:eastAsia="仿宋" w:hAnsi="仿宋" w:cs="宋体"/>
                <w:color w:val="auto"/>
              </w:rPr>
              <w:t xml:space="preserve">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Corporate Social Responsibility in Energy Industry*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2 ECTS </w:t>
            </w:r>
          </w:p>
        </w:tc>
        <w:tc>
          <w:tcPr>
            <w:tcW w:w="1288"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Master </w:t>
            </w:r>
          </w:p>
        </w:tc>
      </w:tr>
      <w:tr w:rsidR="009E3A3E" w:rsidRPr="00717100" w:rsidTr="004A0611">
        <w:trPr>
          <w:trHeight w:val="112"/>
        </w:trPr>
        <w:tc>
          <w:tcPr>
            <w:tcW w:w="801"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hint="eastAsia"/>
                <w:color w:val="auto"/>
              </w:rPr>
              <w:t>8</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Project Management*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3 ECTS </w:t>
            </w:r>
          </w:p>
        </w:tc>
        <w:tc>
          <w:tcPr>
            <w:tcW w:w="1288"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Master </w:t>
            </w:r>
          </w:p>
        </w:tc>
      </w:tr>
      <w:tr w:rsidR="009E3A3E" w:rsidRPr="00717100" w:rsidTr="004A0611">
        <w:trPr>
          <w:trHeight w:val="112"/>
        </w:trPr>
        <w:tc>
          <w:tcPr>
            <w:tcW w:w="801"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hint="eastAsia"/>
                <w:color w:val="auto"/>
              </w:rPr>
              <w:t>9</w:t>
            </w:r>
            <w:r w:rsidRPr="00717100">
              <w:rPr>
                <w:rFonts w:ascii="仿宋" w:eastAsia="仿宋" w:hAnsi="仿宋" w:cs="宋体"/>
                <w:color w:val="auto"/>
              </w:rPr>
              <w:t xml:space="preserve">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Energy Marketing*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3 ECTS </w:t>
            </w:r>
          </w:p>
        </w:tc>
        <w:tc>
          <w:tcPr>
            <w:tcW w:w="1288"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Master </w:t>
            </w:r>
          </w:p>
        </w:tc>
      </w:tr>
      <w:tr w:rsidR="009E3A3E" w:rsidRPr="00717100" w:rsidTr="004A0611">
        <w:trPr>
          <w:trHeight w:val="112"/>
        </w:trPr>
        <w:tc>
          <w:tcPr>
            <w:tcW w:w="801"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hint="eastAsia"/>
                <w:color w:val="auto"/>
              </w:rPr>
              <w:t>10</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Advanced Energy Technologies*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3 ECTS </w:t>
            </w:r>
          </w:p>
        </w:tc>
        <w:tc>
          <w:tcPr>
            <w:tcW w:w="1288"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Master </w:t>
            </w:r>
          </w:p>
        </w:tc>
      </w:tr>
      <w:tr w:rsidR="009E3A3E" w:rsidRPr="00717100" w:rsidTr="004A0611">
        <w:trPr>
          <w:trHeight w:val="112"/>
        </w:trPr>
        <w:tc>
          <w:tcPr>
            <w:tcW w:w="801"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hint="eastAsia"/>
                <w:color w:val="auto"/>
              </w:rPr>
              <w:t>11</w:t>
            </w:r>
            <w:r w:rsidRPr="00717100">
              <w:rPr>
                <w:rFonts w:ascii="仿宋" w:eastAsia="仿宋" w:hAnsi="仿宋" w:cs="宋体"/>
                <w:color w:val="auto"/>
              </w:rPr>
              <w:t xml:space="preserve">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Managerial Economics* </w:t>
            </w:r>
          </w:p>
        </w:tc>
        <w:tc>
          <w:tcPr>
            <w:tcW w:w="2603"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4 ECTS </w:t>
            </w:r>
          </w:p>
        </w:tc>
        <w:tc>
          <w:tcPr>
            <w:tcW w:w="1288" w:type="dxa"/>
          </w:tcPr>
          <w:p w:rsidR="009E3A3E" w:rsidRPr="00717100" w:rsidRDefault="009E3A3E" w:rsidP="00717100">
            <w:pPr>
              <w:pStyle w:val="Default"/>
              <w:spacing w:line="440" w:lineRule="exact"/>
              <w:rPr>
                <w:rFonts w:ascii="仿宋" w:eastAsia="仿宋" w:hAnsi="仿宋" w:cs="宋体"/>
                <w:color w:val="auto"/>
              </w:rPr>
            </w:pPr>
            <w:r w:rsidRPr="00717100">
              <w:rPr>
                <w:rFonts w:ascii="仿宋" w:eastAsia="仿宋" w:hAnsi="仿宋" w:cs="宋体"/>
                <w:color w:val="auto"/>
              </w:rPr>
              <w:t xml:space="preserve">Master </w:t>
            </w:r>
          </w:p>
        </w:tc>
      </w:tr>
    </w:tbl>
    <w:p w:rsidR="009E3A3E" w:rsidRPr="00BB15CF" w:rsidRDefault="009E3A3E" w:rsidP="00717100">
      <w:pPr>
        <w:spacing w:after="75" w:line="440" w:lineRule="exact"/>
        <w:rPr>
          <w:rFonts w:ascii="仿宋" w:eastAsia="仿宋" w:hAnsi="仿宋" w:cs="宋体"/>
          <w:sz w:val="28"/>
          <w:szCs w:val="28"/>
        </w:rPr>
      </w:pPr>
    </w:p>
    <w:p w:rsidR="009E3A3E" w:rsidRPr="00BB15CF" w:rsidRDefault="009E3A3E" w:rsidP="00717100">
      <w:pPr>
        <w:spacing w:line="440" w:lineRule="exact"/>
        <w:rPr>
          <w:rFonts w:ascii="仿宋" w:eastAsia="仿宋" w:hAnsi="仿宋" w:cs="宋体"/>
          <w:sz w:val="28"/>
          <w:szCs w:val="28"/>
        </w:rPr>
      </w:pPr>
    </w:p>
    <w:p w:rsidR="009E3A3E" w:rsidRPr="00BB15CF" w:rsidRDefault="00717100" w:rsidP="00717100">
      <w:pPr>
        <w:spacing w:line="440" w:lineRule="exact"/>
        <w:rPr>
          <w:rFonts w:ascii="仿宋" w:eastAsia="仿宋" w:hAnsi="仿宋" w:cs="宋体"/>
          <w:b/>
          <w:sz w:val="28"/>
          <w:szCs w:val="28"/>
        </w:rPr>
      </w:pPr>
      <w:r>
        <w:rPr>
          <w:rFonts w:ascii="仿宋" w:eastAsia="仿宋" w:hAnsi="仿宋" w:cs="宋体" w:hint="eastAsia"/>
          <w:b/>
          <w:sz w:val="28"/>
          <w:szCs w:val="28"/>
        </w:rPr>
        <w:t>三</w:t>
      </w:r>
      <w:r>
        <w:rPr>
          <w:rFonts w:ascii="仿宋" w:eastAsia="仿宋" w:hAnsi="仿宋" w:cs="宋体"/>
          <w:b/>
          <w:sz w:val="28"/>
          <w:szCs w:val="28"/>
        </w:rPr>
        <w:t>、</w:t>
      </w:r>
      <w:r w:rsidR="009E3A3E" w:rsidRPr="00BB15CF">
        <w:rPr>
          <w:rFonts w:ascii="仿宋" w:eastAsia="仿宋" w:hAnsi="仿宋" w:cs="宋体" w:hint="eastAsia"/>
          <w:b/>
          <w:sz w:val="28"/>
          <w:szCs w:val="28"/>
        </w:rPr>
        <w:t>哈萨克斯坦阿里法拉比国立大学</w:t>
      </w:r>
    </w:p>
    <w:p w:rsidR="009E3A3E" w:rsidRPr="00BB15CF" w:rsidRDefault="009E3A3E" w:rsidP="00717100">
      <w:pPr>
        <w:spacing w:line="440" w:lineRule="exact"/>
        <w:ind w:firstLineChars="200" w:firstLine="562"/>
        <w:rPr>
          <w:rFonts w:ascii="仿宋" w:eastAsia="仿宋" w:hAnsi="仿宋" w:cs="宋体"/>
          <w:b/>
          <w:sz w:val="28"/>
          <w:szCs w:val="28"/>
        </w:rPr>
      </w:pPr>
      <w:r w:rsidRPr="00BB15CF">
        <w:rPr>
          <w:rFonts w:ascii="仿宋" w:eastAsia="仿宋" w:hAnsi="仿宋" w:cs="宋体"/>
          <w:b/>
          <w:sz w:val="28"/>
          <w:szCs w:val="28"/>
        </w:rPr>
        <w:t>合作方向</w:t>
      </w:r>
      <w:r w:rsidRPr="00BB15CF">
        <w:rPr>
          <w:rFonts w:ascii="仿宋" w:eastAsia="仿宋" w:hAnsi="仿宋" w:cs="宋体" w:hint="eastAsia"/>
          <w:b/>
          <w:sz w:val="28"/>
          <w:szCs w:val="28"/>
        </w:rPr>
        <w:t>：</w:t>
      </w:r>
      <w:r w:rsidRPr="00BB15CF">
        <w:rPr>
          <w:rFonts w:ascii="仿宋" w:eastAsia="仿宋" w:hAnsi="仿宋" w:cs="宋体"/>
          <w:b/>
          <w:sz w:val="28"/>
          <w:szCs w:val="28"/>
        </w:rPr>
        <w:t>能源学</w:t>
      </w:r>
    </w:p>
    <w:p w:rsidR="009E3A3E" w:rsidRPr="00BB15CF" w:rsidRDefault="009E3A3E" w:rsidP="00717100">
      <w:pPr>
        <w:spacing w:line="440" w:lineRule="exact"/>
        <w:ind w:firstLineChars="200" w:firstLine="562"/>
        <w:rPr>
          <w:rFonts w:ascii="仿宋" w:eastAsia="仿宋" w:hAnsi="仿宋" w:cs="宋体"/>
          <w:b/>
          <w:sz w:val="28"/>
          <w:szCs w:val="28"/>
        </w:rPr>
      </w:pPr>
      <w:r w:rsidRPr="00BB15CF">
        <w:rPr>
          <w:rFonts w:ascii="仿宋" w:eastAsia="仿宋" w:hAnsi="仿宋" w:cs="宋体" w:hint="eastAsia"/>
          <w:b/>
          <w:sz w:val="28"/>
          <w:szCs w:val="28"/>
        </w:rPr>
        <w:t>可申请专业：石油化学</w:t>
      </w:r>
    </w:p>
    <w:p w:rsidR="009E3A3E" w:rsidRPr="00BB15CF" w:rsidRDefault="009E3A3E" w:rsidP="00717100">
      <w:pPr>
        <w:spacing w:line="440" w:lineRule="exact"/>
        <w:ind w:firstLineChars="200" w:firstLine="562"/>
        <w:rPr>
          <w:rFonts w:ascii="仿宋" w:eastAsia="仿宋" w:hAnsi="仿宋" w:cs="宋体"/>
          <w:b/>
          <w:sz w:val="28"/>
          <w:szCs w:val="28"/>
        </w:rPr>
      </w:pPr>
      <w:r w:rsidRPr="00BB15CF">
        <w:rPr>
          <w:rFonts w:ascii="仿宋" w:eastAsia="仿宋" w:hAnsi="仿宋" w:cs="宋体" w:hint="eastAsia"/>
          <w:b/>
          <w:sz w:val="28"/>
          <w:szCs w:val="28"/>
        </w:rPr>
        <w:t>授课语言：英语</w:t>
      </w:r>
    </w:p>
    <w:p w:rsidR="009E3A3E" w:rsidRPr="00BB15CF" w:rsidRDefault="009E3A3E" w:rsidP="00717100">
      <w:pPr>
        <w:shd w:val="clear" w:color="auto" w:fill="FFFFFF"/>
        <w:spacing w:line="440" w:lineRule="exact"/>
        <w:ind w:firstLine="480"/>
        <w:rPr>
          <w:rFonts w:ascii="仿宋" w:eastAsia="仿宋" w:hAnsi="仿宋" w:cs="宋体"/>
          <w:sz w:val="28"/>
          <w:szCs w:val="28"/>
        </w:rPr>
      </w:pPr>
      <w:r w:rsidRPr="00BB15CF">
        <w:rPr>
          <w:rFonts w:ascii="仿宋" w:eastAsia="仿宋" w:hAnsi="仿宋" w:cs="宋体"/>
          <w:sz w:val="28"/>
          <w:szCs w:val="28"/>
        </w:rPr>
        <w:t>哈萨克斯坦阿里法拉比国立大学成立于</w:t>
      </w:r>
      <w:r w:rsidRPr="00BB15CF">
        <w:rPr>
          <w:rFonts w:ascii="仿宋" w:eastAsia="仿宋" w:hAnsi="仿宋" w:cs="宋体" w:hint="eastAsia"/>
          <w:sz w:val="28"/>
          <w:szCs w:val="28"/>
        </w:rPr>
        <w:t>1934年，</w:t>
      </w:r>
      <w:r w:rsidRPr="00BB15CF">
        <w:rPr>
          <w:rFonts w:ascii="仿宋" w:eastAsia="仿宋" w:hAnsi="仿宋" w:cs="宋体"/>
          <w:sz w:val="28"/>
          <w:szCs w:val="28"/>
        </w:rPr>
        <w:t>是哈萨克斯坦最大的综合性大学，在国内首屈一指</w:t>
      </w:r>
      <w:r w:rsidRPr="00BB15CF">
        <w:rPr>
          <w:rFonts w:ascii="仿宋" w:eastAsia="仿宋" w:hAnsi="仿宋" w:cs="宋体" w:hint="eastAsia"/>
          <w:sz w:val="28"/>
          <w:szCs w:val="28"/>
        </w:rPr>
        <w:t>。</w:t>
      </w:r>
      <w:r w:rsidRPr="00BB15CF">
        <w:rPr>
          <w:rFonts w:ascii="仿宋" w:eastAsia="仿宋" w:hAnsi="仿宋" w:cs="宋体"/>
          <w:sz w:val="28"/>
          <w:szCs w:val="28"/>
        </w:rPr>
        <w:t>设有180个学士、研究生和博士生学位，现有在校生2万多名。该校注重学生的素质教育，多学科和多专业是我们的教学特色。学校园环境优美，拥有现代化的教学楼、博物馆、体育设施、学生俱乐部和学生宿舍。</w:t>
      </w:r>
    </w:p>
    <w:p w:rsidR="009E3A3E" w:rsidRPr="00BB15CF" w:rsidRDefault="009E3A3E" w:rsidP="00717100">
      <w:pPr>
        <w:shd w:val="clear" w:color="auto" w:fill="FFFFFF"/>
        <w:spacing w:line="440" w:lineRule="exact"/>
        <w:ind w:firstLine="480"/>
        <w:rPr>
          <w:rFonts w:ascii="仿宋" w:eastAsia="仿宋" w:hAnsi="仿宋" w:cs="宋体"/>
          <w:sz w:val="28"/>
          <w:szCs w:val="28"/>
        </w:rPr>
      </w:pPr>
      <w:r w:rsidRPr="00BB15CF">
        <w:rPr>
          <w:rFonts w:ascii="仿宋" w:eastAsia="仿宋" w:hAnsi="仿宋" w:cs="宋体"/>
          <w:sz w:val="28"/>
          <w:szCs w:val="28"/>
        </w:rPr>
        <w:t>哈萨克斯坦国立大学的综合竞争力业已晋升世界著名大学行列。2013年QS（质量安全）评比中，该校是</w:t>
      </w:r>
      <w:hyperlink r:id="rId8" w:tgtFrame="_blank" w:history="1">
        <w:r w:rsidRPr="00BB15CF">
          <w:rPr>
            <w:rFonts w:ascii="仿宋" w:eastAsia="仿宋" w:hAnsi="仿宋" w:cs="宋体"/>
            <w:sz w:val="28"/>
            <w:szCs w:val="28"/>
          </w:rPr>
          <w:t>中亚</w:t>
        </w:r>
      </w:hyperlink>
      <w:r w:rsidRPr="00BB15CF">
        <w:rPr>
          <w:rFonts w:ascii="仿宋" w:eastAsia="仿宋" w:hAnsi="仿宋" w:cs="宋体"/>
          <w:sz w:val="28"/>
          <w:szCs w:val="28"/>
        </w:rPr>
        <w:t>唯一一个进入世界前300名的大学，并在世界800所优秀大学中排名第234位，是</w:t>
      </w:r>
      <w:hyperlink r:id="rId9" w:tgtFrame="_blank" w:history="1">
        <w:r w:rsidRPr="00BB15CF">
          <w:rPr>
            <w:rFonts w:ascii="仿宋" w:eastAsia="仿宋" w:hAnsi="仿宋" w:cs="宋体"/>
            <w:sz w:val="28"/>
            <w:szCs w:val="28"/>
          </w:rPr>
          <w:t>独联体</w:t>
        </w:r>
      </w:hyperlink>
      <w:r w:rsidRPr="00BB15CF">
        <w:rPr>
          <w:rFonts w:ascii="仿宋" w:eastAsia="仿宋" w:hAnsi="仿宋" w:cs="宋体"/>
          <w:sz w:val="28"/>
          <w:szCs w:val="28"/>
        </w:rPr>
        <w:t>国家进入这一排行的三所学校之一。</w:t>
      </w:r>
    </w:p>
    <w:p w:rsidR="009E3A3E" w:rsidRPr="00BB15CF" w:rsidRDefault="009E3A3E" w:rsidP="00717100">
      <w:pPr>
        <w:shd w:val="clear" w:color="auto" w:fill="FFFFFF"/>
        <w:spacing w:line="440" w:lineRule="exact"/>
        <w:ind w:firstLine="480"/>
        <w:rPr>
          <w:rFonts w:ascii="仿宋" w:eastAsia="仿宋" w:hAnsi="仿宋" w:cs="宋体"/>
          <w:sz w:val="28"/>
          <w:szCs w:val="28"/>
        </w:rPr>
      </w:pPr>
      <w:r w:rsidRPr="00BB15CF">
        <w:rPr>
          <w:rFonts w:ascii="仿宋" w:eastAsia="仿宋" w:hAnsi="仿宋" w:cs="宋体"/>
          <w:sz w:val="28"/>
          <w:szCs w:val="28"/>
        </w:rPr>
        <w:lastRenderedPageBreak/>
        <w:t>根据哈教育部博洛尼亚进程和学术流动性中心编制的2014年全国高校排行榜，阿里·法拉比国立大学名列全国高校第一名，古米廖夫国立欧亚大学和南哈州阿乌埃佐夫国立大学位列其后。排行榜考察的标准包括学生素质、师资力量、学术流动性、毕业生竞争力和科研活动。</w:t>
      </w:r>
    </w:p>
    <w:p w:rsidR="009E3A3E" w:rsidRDefault="009E3A3E" w:rsidP="00717100">
      <w:pPr>
        <w:spacing w:line="440" w:lineRule="exact"/>
        <w:rPr>
          <w:rFonts w:ascii="仿宋" w:eastAsia="仿宋" w:hAnsi="仿宋" w:cs="宋体"/>
        </w:rPr>
      </w:pPr>
    </w:p>
    <w:p w:rsidR="00C81F18" w:rsidRPr="009E3A3E" w:rsidRDefault="00C81F18" w:rsidP="00717100">
      <w:pPr>
        <w:spacing w:line="440" w:lineRule="exact"/>
      </w:pPr>
    </w:p>
    <w:sectPr w:rsidR="00C81F18" w:rsidRPr="009E3A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F26" w:rsidRDefault="00075F26" w:rsidP="009E3A3E">
      <w:r>
        <w:separator/>
      </w:r>
    </w:p>
  </w:endnote>
  <w:endnote w:type="continuationSeparator" w:id="0">
    <w:p w:rsidR="00075F26" w:rsidRDefault="00075F26" w:rsidP="009E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F26" w:rsidRDefault="00075F26" w:rsidP="009E3A3E">
      <w:r>
        <w:separator/>
      </w:r>
    </w:p>
  </w:footnote>
  <w:footnote w:type="continuationSeparator" w:id="0">
    <w:p w:rsidR="00075F26" w:rsidRDefault="00075F26" w:rsidP="009E3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B2"/>
    <w:rsid w:val="00075F26"/>
    <w:rsid w:val="00717100"/>
    <w:rsid w:val="009E3A3E"/>
    <w:rsid w:val="00BB15CF"/>
    <w:rsid w:val="00BD64B2"/>
    <w:rsid w:val="00C81F18"/>
    <w:rsid w:val="00EB431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F5DCC7-85B2-452B-A8C1-2E3B7487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A3E"/>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A3E"/>
    <w:pPr>
      <w:widowControl w:val="0"/>
      <w:pBdr>
        <w:bottom w:val="single" w:sz="6" w:space="1" w:color="auto"/>
      </w:pBdr>
      <w:tabs>
        <w:tab w:val="center" w:pos="4153"/>
        <w:tab w:val="right" w:pos="8306"/>
      </w:tabs>
      <w:snapToGrid w:val="0"/>
      <w:jc w:val="center"/>
    </w:pPr>
    <w:rPr>
      <w:kern w:val="2"/>
      <w:sz w:val="18"/>
      <w:szCs w:val="18"/>
    </w:rPr>
  </w:style>
  <w:style w:type="character" w:customStyle="1" w:styleId="Char">
    <w:name w:val="页眉 Char"/>
    <w:basedOn w:val="a0"/>
    <w:link w:val="a3"/>
    <w:uiPriority w:val="99"/>
    <w:rsid w:val="009E3A3E"/>
    <w:rPr>
      <w:sz w:val="18"/>
      <w:szCs w:val="18"/>
    </w:rPr>
  </w:style>
  <w:style w:type="paragraph" w:styleId="a4">
    <w:name w:val="footer"/>
    <w:basedOn w:val="a"/>
    <w:link w:val="Char0"/>
    <w:uiPriority w:val="99"/>
    <w:unhideWhenUsed/>
    <w:rsid w:val="009E3A3E"/>
    <w:pPr>
      <w:widowControl w:val="0"/>
      <w:tabs>
        <w:tab w:val="center" w:pos="4153"/>
        <w:tab w:val="right" w:pos="8306"/>
      </w:tabs>
      <w:snapToGrid w:val="0"/>
    </w:pPr>
    <w:rPr>
      <w:kern w:val="2"/>
      <w:sz w:val="18"/>
      <w:szCs w:val="18"/>
    </w:rPr>
  </w:style>
  <w:style w:type="character" w:customStyle="1" w:styleId="Char0">
    <w:name w:val="页脚 Char"/>
    <w:basedOn w:val="a0"/>
    <w:link w:val="a4"/>
    <w:uiPriority w:val="99"/>
    <w:rsid w:val="009E3A3E"/>
    <w:rPr>
      <w:sz w:val="18"/>
      <w:szCs w:val="18"/>
    </w:rPr>
  </w:style>
  <w:style w:type="paragraph" w:styleId="a5">
    <w:name w:val="List Paragraph"/>
    <w:basedOn w:val="a"/>
    <w:uiPriority w:val="34"/>
    <w:qFormat/>
    <w:rsid w:val="009E3A3E"/>
    <w:pPr>
      <w:ind w:left="720"/>
      <w:contextualSpacing/>
    </w:pPr>
  </w:style>
  <w:style w:type="paragraph" w:customStyle="1" w:styleId="Default">
    <w:name w:val="Default"/>
    <w:rsid w:val="009E3A3E"/>
    <w:pPr>
      <w:widowControl w:val="0"/>
      <w:autoSpaceDE w:val="0"/>
      <w:autoSpaceDN w:val="0"/>
      <w:adjustRightInd w:val="0"/>
    </w:pPr>
    <w:rPr>
      <w:rFonts w:ascii="Arial" w:hAnsi="Arial" w:cs="Arial"/>
      <w:color w:val="000000"/>
      <w:kern w:val="0"/>
      <w:sz w:val="24"/>
      <w:szCs w:val="24"/>
    </w:rPr>
  </w:style>
  <w:style w:type="paragraph" w:styleId="a6">
    <w:name w:val="Normal (Web)"/>
    <w:basedOn w:val="a"/>
    <w:uiPriority w:val="99"/>
    <w:semiHidden/>
    <w:unhideWhenUsed/>
    <w:rsid w:val="009E3A3E"/>
    <w:pPr>
      <w:spacing w:before="100" w:beforeAutospacing="1" w:after="100" w:afterAutospacing="1"/>
    </w:pPr>
    <w:rPr>
      <w:rFonts w:ascii="宋体" w:eastAsia="宋体" w:hAnsi="宋体" w:cs="宋体"/>
    </w:rPr>
  </w:style>
  <w:style w:type="table" w:styleId="a7">
    <w:name w:val="Table Grid"/>
    <w:basedOn w:val="a1"/>
    <w:uiPriority w:val="39"/>
    <w:qFormat/>
    <w:rsid w:val="009E3A3E"/>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item/%E4%B8%AD%E4%BA%9A" TargetMode="External"/><Relationship Id="rId3" Type="http://schemas.openxmlformats.org/officeDocument/2006/relationships/webSettings" Target="webSettings.xml"/><Relationship Id="rId7" Type="http://schemas.openxmlformats.org/officeDocument/2006/relationships/hyperlink" Target="http://baike.baidu.com/view/12738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21945.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baike.baidu.com/item/%E7%8B%AC%E8%81%94%E4%BD%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LLY</dc:creator>
  <cp:keywords/>
  <dc:description/>
  <cp:lastModifiedBy>LLY</cp:lastModifiedBy>
  <cp:revision>5</cp:revision>
  <dcterms:created xsi:type="dcterms:W3CDTF">2021-11-03T09:20:00Z</dcterms:created>
  <dcterms:modified xsi:type="dcterms:W3CDTF">2021-11-03T09:24:00Z</dcterms:modified>
</cp:coreProperties>
</file>