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FF" w:rsidRPr="005765FF" w:rsidRDefault="005765FF" w:rsidP="005765FF">
      <w:pPr>
        <w:widowControl/>
        <w:shd w:val="clear" w:color="auto" w:fill="FFFFFF"/>
        <w:spacing w:after="75"/>
        <w:jc w:val="center"/>
        <w:outlineLvl w:val="0"/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</w:pPr>
      <w:r w:rsidRPr="005765FF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关于</w:t>
      </w:r>
      <w:r w:rsidRPr="005765FF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201</w:t>
      </w:r>
      <w:r>
        <w:rPr>
          <w:rFonts w:ascii="Tahoma" w:eastAsia="宋体" w:hAnsi="Tahoma" w:cs="Tahoma" w:hint="eastAsia"/>
          <w:b/>
          <w:bCs/>
          <w:color w:val="333333"/>
          <w:kern w:val="36"/>
          <w:sz w:val="27"/>
          <w:szCs w:val="27"/>
        </w:rPr>
        <w:t>9</w:t>
      </w:r>
      <w:r w:rsidRPr="005765FF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年度中国石油大学（北京）举办学术会议资助申请的通知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各学院（研究院）：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为促进我校学术交流，提升我校在国内外学术界的影响力，学校将择优资助我校主办或作为主要承办方承办</w:t>
      </w:r>
      <w:r w:rsidR="00976B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（排名第一或第二）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的大型学术会议。为做好201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9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年学校举办学术会议资助申报工作，现将有关事项通知如下：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171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一、资助范围  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1、</w:t>
      </w:r>
      <w:r w:rsidR="00976B47" w:rsidRPr="00976B47">
        <w:rPr>
          <w:rFonts w:ascii="宋体" w:eastAsia="宋体" w:hAnsi="宋体" w:cs="宋体" w:hint="eastAsia"/>
          <w:b/>
          <w:color w:val="333333"/>
          <w:kern w:val="0"/>
          <w:sz w:val="27"/>
          <w:szCs w:val="27"/>
        </w:rPr>
        <w:t>理工类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国际会议要求会议代表</w:t>
      </w:r>
      <w:r w:rsidR="000C5EF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（实际注册人数</w:t>
      </w:r>
      <w:r w:rsidR="00DB00BB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及邀请专家人数</w:t>
      </w:r>
      <w:r w:rsidR="000C5EF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）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在100人（含）以上</w:t>
      </w:r>
      <w:r w:rsidR="00976B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；</w:t>
      </w:r>
      <w:r w:rsidR="00976B47" w:rsidRPr="00976B47">
        <w:rPr>
          <w:rFonts w:ascii="宋体" w:eastAsia="宋体" w:hAnsi="宋体" w:cs="宋体" w:hint="eastAsia"/>
          <w:b/>
          <w:color w:val="333333"/>
          <w:kern w:val="0"/>
          <w:sz w:val="27"/>
          <w:szCs w:val="27"/>
        </w:rPr>
        <w:t>人文社科类</w:t>
      </w:r>
      <w:r w:rsidR="00976B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国际会议要求会议代表在50人（</w:t>
      </w:r>
      <w:r w:rsidR="00976B47" w:rsidRPr="00976B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实际注册人数及邀请专家人数）</w:t>
      </w:r>
      <w:r w:rsidR="00976B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以上，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原则上国外会议代表应占会议人数的10%以上。境外参会人员国别不少于两国。应符合教育部《关于在华举办国际会议管理办法的实施细则（试行）》相关规定，需经过国际合作与交流处到教育部备案，并获得教育部批文。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2、</w:t>
      </w:r>
      <w:r w:rsidR="00976B47" w:rsidRPr="00976B47">
        <w:rPr>
          <w:rFonts w:ascii="宋体" w:eastAsia="宋体" w:hAnsi="宋体" w:cs="宋体" w:hint="eastAsia"/>
          <w:b/>
          <w:color w:val="333333"/>
          <w:kern w:val="0"/>
          <w:sz w:val="27"/>
          <w:szCs w:val="27"/>
        </w:rPr>
        <w:t>理工类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大型国内会议</w:t>
      </w:r>
      <w:r w:rsidR="00E73D9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须</w:t>
      </w:r>
      <w:r w:rsidR="00D038BA" w:rsidRPr="00D038BA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为国家一级学会主办，或同级别组织机构主办</w:t>
      </w:r>
      <w:r w:rsidR="00976B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的全国性学术会议</w:t>
      </w:r>
      <w:r w:rsidR="00D038BA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，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会议代表</w:t>
      </w:r>
      <w:r w:rsidR="00D60647" w:rsidRPr="00D606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（实际注册人数及邀请专家人数）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在300人</w:t>
      </w:r>
      <w:r w:rsidR="00976B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以上；</w:t>
      </w:r>
      <w:r w:rsidR="00976B47" w:rsidRPr="00D60647">
        <w:rPr>
          <w:rFonts w:ascii="宋体" w:eastAsia="宋体" w:hAnsi="宋体" w:cs="宋体" w:hint="eastAsia"/>
          <w:b/>
          <w:color w:val="333333"/>
          <w:kern w:val="0"/>
          <w:sz w:val="27"/>
          <w:szCs w:val="27"/>
        </w:rPr>
        <w:t>人文社科类</w:t>
      </w:r>
      <w:r w:rsidR="00D606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大型国内会议？要求</w:t>
      </w:r>
      <w:r w:rsidR="00D60647" w:rsidRPr="00D606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会议代表（实际注册人数及邀请专家人数）在</w:t>
      </w:r>
      <w:r w:rsidR="00D606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100</w:t>
      </w:r>
      <w:r w:rsidR="00D60647" w:rsidRPr="00D606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人</w:t>
      </w:r>
      <w:r w:rsidR="00D606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（含）以上，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原则上我校教师代表人数应少于会议人数的20%</w:t>
      </w:r>
      <w:r w:rsidR="000C5EF0" w:rsidRPr="005765FF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 xml:space="preserve"> 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3、会议资助的申请人应为中国石油大学（北京）正式人员。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4、本年度资助会议召开的时间应在</w:t>
      </w:r>
      <w:r w:rsidRPr="005765FF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201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9</w:t>
      </w:r>
      <w:r w:rsidRPr="005765FF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年1月1日至201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9</w:t>
      </w:r>
      <w:r w:rsidRPr="005765FF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年12月31日之间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。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171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二、申报程序及材料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lastRenderedPageBreak/>
        <w:t>1、我校国际学术会议资助实行申请制度。申报需准备如下材料：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①申请人将办会计划报送至所在</w:t>
      </w:r>
      <w:r w:rsidR="000C5EF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学院（研究院）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，填写</w:t>
      </w:r>
      <w:r w:rsidRPr="005765F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《中国石油大学（北京）举办学术会议资助申请表》（见附件1）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，并提交至所在</w:t>
      </w:r>
      <w:r w:rsidR="00DB00BB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学院（研究院）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。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②各</w:t>
      </w:r>
      <w:r w:rsidR="000C5EF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学院（研究院）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通过初审后，</w:t>
      </w:r>
      <w:r w:rsidRPr="005765FF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12月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12</w:t>
      </w:r>
      <w:r w:rsidRPr="005765FF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日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前向科学技术处提交《中国石油大学（北京）举办学术会议资助申请表》（见附件1）、《学院（研究院）推荐公函》（附件4）和会议背景材料各1份，同时将电子版发送到科学技术处联系人。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2、科学技术处将举办学术会议申请汇总审核后，提交校学术委员会审议。根据每年学术交流计划的总体情况及该申报会议的评审情况，确定资助举办会议名单。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171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三、资助标准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1、资助经费包括会议场地租金、会议材料印刷费和市内交通费。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2、会议资助参照如下标准，按照实际正式注册参会人员</w:t>
      </w:r>
      <w:r w:rsidR="00D6064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和邀请专家的数量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确定资助费用最高额度，并以实际发生费用为准。</w:t>
      </w:r>
    </w:p>
    <w:p w:rsidR="005765FF" w:rsidRPr="005765FF" w:rsidRDefault="005765FF" w:rsidP="005765FF">
      <w:pPr>
        <w:widowControl/>
        <w:shd w:val="clear" w:color="auto" w:fill="FFFFFF"/>
        <w:spacing w:before="120" w:line="27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中国石油大学（北京）举办会议资助标准</w:t>
      </w:r>
    </w:p>
    <w:tbl>
      <w:tblPr>
        <w:tblW w:w="0" w:type="auto"/>
        <w:jc w:val="center"/>
        <w:tblInd w:w="2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1"/>
        <w:gridCol w:w="1494"/>
        <w:gridCol w:w="1494"/>
        <w:gridCol w:w="1495"/>
      </w:tblGrid>
      <w:tr w:rsidR="00D60647" w:rsidRPr="005765FF" w:rsidTr="00490C92">
        <w:trPr>
          <w:jc w:val="center"/>
        </w:trPr>
        <w:tc>
          <w:tcPr>
            <w:tcW w:w="1821" w:type="dxa"/>
          </w:tcPr>
          <w:p w:rsidR="00D60647" w:rsidRPr="00490C92" w:rsidRDefault="00D60647" w:rsidP="005765FF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90C92">
              <w:rPr>
                <w:rFonts w:ascii="仿宋" w:eastAsia="仿宋" w:hAnsi="仿宋" w:cs="宋体" w:hint="eastAsia"/>
                <w:kern w:val="0"/>
                <w:szCs w:val="21"/>
              </w:rPr>
              <w:t>会期</w:t>
            </w:r>
          </w:p>
        </w:tc>
        <w:tc>
          <w:tcPr>
            <w:tcW w:w="14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647" w:rsidRPr="005765FF" w:rsidRDefault="00D60647" w:rsidP="005765F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765F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5765FF">
              <w:rPr>
                <w:rFonts w:ascii="仿宋" w:eastAsia="仿宋" w:hAnsi="仿宋" w:cs="宋体" w:hint="eastAsia"/>
                <w:kern w:val="0"/>
                <w:szCs w:val="21"/>
              </w:rPr>
              <w:t>天</w:t>
            </w:r>
          </w:p>
        </w:tc>
        <w:tc>
          <w:tcPr>
            <w:tcW w:w="14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647" w:rsidRPr="005765FF" w:rsidRDefault="00D60647" w:rsidP="005765F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765FF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5765FF">
              <w:rPr>
                <w:rFonts w:ascii="仿宋" w:eastAsia="仿宋" w:hAnsi="仿宋" w:cs="宋体" w:hint="eastAsia"/>
                <w:kern w:val="0"/>
                <w:szCs w:val="21"/>
              </w:rPr>
              <w:t>天</w:t>
            </w:r>
          </w:p>
        </w:tc>
        <w:tc>
          <w:tcPr>
            <w:tcW w:w="1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647" w:rsidRPr="005765FF" w:rsidRDefault="00D60647" w:rsidP="005765F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765FF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5765FF">
              <w:rPr>
                <w:rFonts w:ascii="仿宋" w:eastAsia="仿宋" w:hAnsi="仿宋" w:cs="宋体" w:hint="eastAsia"/>
                <w:kern w:val="0"/>
                <w:szCs w:val="21"/>
              </w:rPr>
              <w:t>天</w:t>
            </w:r>
          </w:p>
        </w:tc>
      </w:tr>
      <w:tr w:rsidR="00D60647" w:rsidRPr="005765FF" w:rsidTr="00490C92">
        <w:trPr>
          <w:jc w:val="center"/>
        </w:trPr>
        <w:tc>
          <w:tcPr>
            <w:tcW w:w="1821" w:type="dxa"/>
          </w:tcPr>
          <w:p w:rsidR="00D60647" w:rsidRPr="00490C92" w:rsidRDefault="00D60647" w:rsidP="005765FF">
            <w:pPr>
              <w:widowControl/>
              <w:spacing w:line="270" w:lineRule="atLeas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90C92">
              <w:rPr>
                <w:rFonts w:ascii="仿宋" w:eastAsia="仿宋" w:hAnsi="仿宋" w:cs="宋体" w:hint="eastAsia"/>
                <w:kern w:val="0"/>
                <w:szCs w:val="21"/>
              </w:rPr>
              <w:t>标准</w:t>
            </w:r>
          </w:p>
        </w:tc>
        <w:tc>
          <w:tcPr>
            <w:tcW w:w="14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647" w:rsidRPr="005765FF" w:rsidRDefault="00D60647" w:rsidP="005765F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160</w:t>
            </w:r>
            <w:r w:rsidRPr="005765FF">
              <w:rPr>
                <w:rFonts w:ascii="仿宋" w:eastAsia="仿宋" w:hAnsi="仿宋" w:cs="宋体" w:hint="eastAsia"/>
                <w:kern w:val="0"/>
                <w:szCs w:val="21"/>
              </w:rPr>
              <w:t>元</w:t>
            </w:r>
            <w:r w:rsidRPr="005765FF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765FF">
              <w:rPr>
                <w:rFonts w:ascii="仿宋" w:eastAsia="仿宋" w:hAnsi="仿宋" w:cs="宋体" w:hint="eastAsia"/>
                <w:kern w:val="0"/>
                <w:szCs w:val="21"/>
              </w:rPr>
              <w:t>人</w:t>
            </w:r>
          </w:p>
        </w:tc>
        <w:tc>
          <w:tcPr>
            <w:tcW w:w="14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647" w:rsidRPr="005765FF" w:rsidRDefault="00D60647" w:rsidP="005765F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220</w:t>
            </w:r>
            <w:r w:rsidRPr="005765FF">
              <w:rPr>
                <w:rFonts w:ascii="仿宋" w:eastAsia="仿宋" w:hAnsi="仿宋" w:cs="宋体" w:hint="eastAsia"/>
                <w:kern w:val="0"/>
                <w:szCs w:val="21"/>
              </w:rPr>
              <w:t>元</w:t>
            </w:r>
            <w:r w:rsidRPr="005765FF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5765FF">
              <w:rPr>
                <w:rFonts w:ascii="仿宋" w:eastAsia="仿宋" w:hAnsi="仿宋" w:cs="宋体" w:hint="eastAsia"/>
                <w:kern w:val="0"/>
                <w:szCs w:val="21"/>
              </w:rPr>
              <w:t>人</w:t>
            </w:r>
          </w:p>
        </w:tc>
        <w:tc>
          <w:tcPr>
            <w:tcW w:w="1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647" w:rsidRPr="005765FF" w:rsidRDefault="00921118" w:rsidP="005765F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280</w:t>
            </w:r>
            <w:r w:rsidR="00D60647" w:rsidRPr="005765FF">
              <w:rPr>
                <w:rFonts w:ascii="仿宋" w:eastAsia="仿宋" w:hAnsi="仿宋" w:cs="宋体" w:hint="eastAsia"/>
                <w:kern w:val="0"/>
                <w:szCs w:val="21"/>
              </w:rPr>
              <w:t>元</w:t>
            </w:r>
            <w:r w:rsidR="00D60647" w:rsidRPr="005765FF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="00D60647" w:rsidRPr="005765FF">
              <w:rPr>
                <w:rFonts w:ascii="仿宋" w:eastAsia="仿宋" w:hAnsi="仿宋" w:cs="宋体" w:hint="eastAsia"/>
                <w:kern w:val="0"/>
                <w:szCs w:val="21"/>
              </w:rPr>
              <w:t>人</w:t>
            </w:r>
          </w:p>
        </w:tc>
      </w:tr>
    </w:tbl>
    <w:p w:rsidR="005765FF" w:rsidRPr="005765FF" w:rsidRDefault="005765FF" w:rsidP="00490C92">
      <w:pPr>
        <w:widowControl/>
        <w:shd w:val="clear" w:color="auto" w:fill="FFFFFF"/>
        <w:spacing w:line="270" w:lineRule="atLeas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*会期半天时资助标准按全天的70%计算；会期超过3天时，只资助3天会期费用</w:t>
      </w:r>
      <w:r w:rsidR="00490C92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；报到日不计入会期</w:t>
      </w:r>
      <w:r w:rsidRPr="005765FF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。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171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四、注意事项</w:t>
      </w:r>
    </w:p>
    <w:p w:rsidR="005765FF" w:rsidRPr="005765FF" w:rsidRDefault="00364EF4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</w:t>
      </w:r>
      <w:r w:rsidR="005765FF"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、会议结束后1个月内，会议的负责人需向科学技术处提交</w:t>
      </w:r>
      <w:r w:rsidRPr="00364EF4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会议代表参会名单、会议议程、会议预算、会议通知等相关材料及教育部批</w:t>
      </w:r>
      <w:r w:rsidRPr="00364EF4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lastRenderedPageBreak/>
        <w:t>示文件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、</w:t>
      </w:r>
      <w:r w:rsidR="005765FF"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会议总结（附件2）和会议</w:t>
      </w:r>
      <w:r w:rsidR="00913A2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资助报销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审批单</w:t>
      </w:r>
      <w:r w:rsidR="005765FF"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（附件3），经科学技术处审批后，予以报销。</w:t>
      </w:r>
    </w:p>
    <w:p w:rsidR="00921118" w:rsidRDefault="00364EF4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</w:t>
      </w:r>
      <w:r w:rsidR="005765FF"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、获得学校资助资格的学术会议，</w:t>
      </w:r>
      <w:r w:rsidR="00921118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除特殊原因外，</w:t>
      </w:r>
      <w:r w:rsidR="00921118" w:rsidRPr="00921118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未能如期举办的，2年内不得再次申请</w:t>
      </w:r>
      <w:r w:rsidR="00921118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。负责人通过学院向科技处提交书面报告，说明未能举办的原因，并声明未对学校声誉造成影响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如有不明事宜，请与科学技术处联系</w:t>
      </w:r>
      <w:bookmarkStart w:id="0" w:name="_GoBack"/>
      <w:bookmarkEnd w:id="0"/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。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联 系 人：王 竹 君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 xml:space="preserve">联系电话：89733055　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联系地址：主楼A1216</w:t>
      </w:r>
    </w:p>
    <w:p w:rsidR="005765FF" w:rsidRPr="005765FF" w:rsidRDefault="005765FF" w:rsidP="005765FF">
      <w:pPr>
        <w:widowControl/>
        <w:shd w:val="clear" w:color="auto" w:fill="FFFFFF"/>
        <w:spacing w:line="270" w:lineRule="atLeast"/>
        <w:ind w:firstLine="480"/>
        <w:jc w:val="righ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                           科学技术处 </w:t>
      </w:r>
    </w:p>
    <w:p w:rsidR="005765FF" w:rsidRPr="005765FF" w:rsidRDefault="00364EF4" w:rsidP="005765FF">
      <w:pPr>
        <w:widowControl/>
        <w:shd w:val="clear" w:color="auto" w:fill="FFFFFF"/>
        <w:spacing w:line="270" w:lineRule="atLeast"/>
        <w:jc w:val="righ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二〇一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八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十一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十二</w:t>
      </w:r>
      <w:r w:rsidRPr="005765F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日</w:t>
      </w:r>
    </w:p>
    <w:p w:rsidR="00C07954" w:rsidRPr="005765FF" w:rsidRDefault="00C07954"/>
    <w:sectPr w:rsidR="00C07954" w:rsidRPr="00576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870" w:rsidRDefault="00481870" w:rsidP="00E73D90">
      <w:r>
        <w:separator/>
      </w:r>
    </w:p>
  </w:endnote>
  <w:endnote w:type="continuationSeparator" w:id="0">
    <w:p w:rsidR="00481870" w:rsidRDefault="00481870" w:rsidP="00E7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870" w:rsidRDefault="00481870" w:rsidP="00E73D90">
      <w:r>
        <w:separator/>
      </w:r>
    </w:p>
  </w:footnote>
  <w:footnote w:type="continuationSeparator" w:id="0">
    <w:p w:rsidR="00481870" w:rsidRDefault="00481870" w:rsidP="00E7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FF"/>
    <w:rsid w:val="00006C7F"/>
    <w:rsid w:val="000261AF"/>
    <w:rsid w:val="00026668"/>
    <w:rsid w:val="000C20CE"/>
    <w:rsid w:val="000C5EF0"/>
    <w:rsid w:val="000E16FF"/>
    <w:rsid w:val="000F11BB"/>
    <w:rsid w:val="000F3A72"/>
    <w:rsid w:val="00116718"/>
    <w:rsid w:val="001220CE"/>
    <w:rsid w:val="00174F08"/>
    <w:rsid w:val="001A1CB4"/>
    <w:rsid w:val="001D4BCA"/>
    <w:rsid w:val="002062DC"/>
    <w:rsid w:val="0020724F"/>
    <w:rsid w:val="0022298C"/>
    <w:rsid w:val="00223694"/>
    <w:rsid w:val="00231D37"/>
    <w:rsid w:val="00271312"/>
    <w:rsid w:val="00290824"/>
    <w:rsid w:val="0029402E"/>
    <w:rsid w:val="002A357D"/>
    <w:rsid w:val="002D1EE5"/>
    <w:rsid w:val="002E1161"/>
    <w:rsid w:val="003153D8"/>
    <w:rsid w:val="00364E5E"/>
    <w:rsid w:val="00364EF4"/>
    <w:rsid w:val="00387F04"/>
    <w:rsid w:val="00393802"/>
    <w:rsid w:val="003938D1"/>
    <w:rsid w:val="003A4E3F"/>
    <w:rsid w:val="00402807"/>
    <w:rsid w:val="00454361"/>
    <w:rsid w:val="00481870"/>
    <w:rsid w:val="00490C92"/>
    <w:rsid w:val="004B423C"/>
    <w:rsid w:val="004D1A36"/>
    <w:rsid w:val="004F3BCC"/>
    <w:rsid w:val="0051404C"/>
    <w:rsid w:val="00527065"/>
    <w:rsid w:val="00562BF8"/>
    <w:rsid w:val="005765FF"/>
    <w:rsid w:val="005B0E56"/>
    <w:rsid w:val="005B23B8"/>
    <w:rsid w:val="006A7AE8"/>
    <w:rsid w:val="006B74C6"/>
    <w:rsid w:val="006D257E"/>
    <w:rsid w:val="007255FF"/>
    <w:rsid w:val="0073325D"/>
    <w:rsid w:val="00785ADB"/>
    <w:rsid w:val="007C6BDC"/>
    <w:rsid w:val="007D48EE"/>
    <w:rsid w:val="007D5635"/>
    <w:rsid w:val="007E3466"/>
    <w:rsid w:val="007E663B"/>
    <w:rsid w:val="007F381F"/>
    <w:rsid w:val="0081503B"/>
    <w:rsid w:val="008153B9"/>
    <w:rsid w:val="008217DF"/>
    <w:rsid w:val="008374C2"/>
    <w:rsid w:val="008571EB"/>
    <w:rsid w:val="0087609B"/>
    <w:rsid w:val="008A7D88"/>
    <w:rsid w:val="008F723F"/>
    <w:rsid w:val="0090671B"/>
    <w:rsid w:val="00913A20"/>
    <w:rsid w:val="00921118"/>
    <w:rsid w:val="00960D13"/>
    <w:rsid w:val="00976B47"/>
    <w:rsid w:val="00984F11"/>
    <w:rsid w:val="009D055D"/>
    <w:rsid w:val="009E223C"/>
    <w:rsid w:val="009E58EA"/>
    <w:rsid w:val="009F18B3"/>
    <w:rsid w:val="009F37E2"/>
    <w:rsid w:val="00A35EC2"/>
    <w:rsid w:val="00A77E97"/>
    <w:rsid w:val="00AD7179"/>
    <w:rsid w:val="00AE698A"/>
    <w:rsid w:val="00B46E59"/>
    <w:rsid w:val="00BB4603"/>
    <w:rsid w:val="00BC05C9"/>
    <w:rsid w:val="00BD7A05"/>
    <w:rsid w:val="00C07954"/>
    <w:rsid w:val="00C16A72"/>
    <w:rsid w:val="00C55DBA"/>
    <w:rsid w:val="00CA749F"/>
    <w:rsid w:val="00CD5A18"/>
    <w:rsid w:val="00CF0B9D"/>
    <w:rsid w:val="00CF0FB6"/>
    <w:rsid w:val="00CF6DE9"/>
    <w:rsid w:val="00D038BA"/>
    <w:rsid w:val="00D30A5F"/>
    <w:rsid w:val="00D60647"/>
    <w:rsid w:val="00D66A6F"/>
    <w:rsid w:val="00D704B8"/>
    <w:rsid w:val="00D93271"/>
    <w:rsid w:val="00DB00BB"/>
    <w:rsid w:val="00DE2717"/>
    <w:rsid w:val="00DF4896"/>
    <w:rsid w:val="00E02F8A"/>
    <w:rsid w:val="00E228BD"/>
    <w:rsid w:val="00E37791"/>
    <w:rsid w:val="00E45978"/>
    <w:rsid w:val="00E6768B"/>
    <w:rsid w:val="00E67E56"/>
    <w:rsid w:val="00E73D90"/>
    <w:rsid w:val="00E80AEC"/>
    <w:rsid w:val="00EB703D"/>
    <w:rsid w:val="00EC7D4A"/>
    <w:rsid w:val="00F17EF0"/>
    <w:rsid w:val="00F25DE9"/>
    <w:rsid w:val="00F26213"/>
    <w:rsid w:val="00F560A0"/>
    <w:rsid w:val="00F60BB5"/>
    <w:rsid w:val="00F76D69"/>
    <w:rsid w:val="00FD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D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D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5E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5E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D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D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5E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5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9C57-9948-46A6-BA1C-E766AF51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王竹君</dc:creator>
  <cp:lastModifiedBy>王竹君</cp:lastModifiedBy>
  <cp:revision>6</cp:revision>
  <cp:lastPrinted>2018-11-12T07:28:00Z</cp:lastPrinted>
  <dcterms:created xsi:type="dcterms:W3CDTF">2018-11-12T02:49:00Z</dcterms:created>
  <dcterms:modified xsi:type="dcterms:W3CDTF">2018-11-13T03:00:00Z</dcterms:modified>
</cp:coreProperties>
</file>